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FC3C" w14:textId="77777777" w:rsidR="00EF74A0" w:rsidRPr="007F6264" w:rsidRDefault="00EF74A0" w:rsidP="00C16EFA">
      <w:pPr>
        <w:spacing w:after="0" w:line="240" w:lineRule="auto"/>
        <w:jc w:val="right"/>
        <w:rPr>
          <w:rFonts w:ascii="Arial" w:hAnsi="Arial" w:cs="Arial"/>
        </w:rPr>
      </w:pPr>
    </w:p>
    <w:p w14:paraId="08449199" w14:textId="77777777" w:rsidR="00615E14" w:rsidRPr="007F6264" w:rsidRDefault="00615E14" w:rsidP="00C16EFA">
      <w:pPr>
        <w:spacing w:after="0" w:line="240" w:lineRule="auto"/>
        <w:jc w:val="both"/>
        <w:rPr>
          <w:rFonts w:ascii="Arial" w:hAnsi="Arial" w:cs="Arial"/>
        </w:rPr>
      </w:pPr>
    </w:p>
    <w:p w14:paraId="328629E0" w14:textId="77777777" w:rsidR="007A6A6C" w:rsidRPr="007F6264" w:rsidRDefault="007A6A6C" w:rsidP="00C16EFA">
      <w:pPr>
        <w:spacing w:after="0" w:line="240" w:lineRule="auto"/>
        <w:rPr>
          <w:rFonts w:ascii="Arial" w:hAnsi="Arial" w:cs="Arial"/>
        </w:rPr>
      </w:pPr>
    </w:p>
    <w:p w14:paraId="1E21E11A" w14:textId="3F7A2C34" w:rsidR="004658F3" w:rsidRPr="007F6264" w:rsidRDefault="004658F3" w:rsidP="00C16EFA">
      <w:pPr>
        <w:pStyle w:val="Nadpis1"/>
        <w:spacing w:before="0" w:beforeAutospacing="0" w:after="0" w:afterAutospacing="0"/>
        <w:jc w:val="right"/>
        <w:rPr>
          <w:rFonts w:ascii="Arial" w:hAnsi="Arial" w:cs="Arial"/>
          <w:noProof/>
          <w:sz w:val="24"/>
          <w:szCs w:val="15"/>
        </w:rPr>
      </w:pPr>
      <w:r w:rsidRPr="007F6264">
        <w:rPr>
          <w:rFonts w:ascii="Arial" w:hAnsi="Arial" w:cs="Arial"/>
          <w:noProof/>
          <w:sz w:val="24"/>
          <w:szCs w:val="15"/>
        </w:rPr>
        <w:t xml:space="preserve">Praha, </w:t>
      </w:r>
      <w:r w:rsidR="00C20CD3">
        <w:rPr>
          <w:rFonts w:ascii="Arial" w:hAnsi="Arial" w:cs="Arial"/>
          <w:noProof/>
          <w:sz w:val="24"/>
          <w:szCs w:val="15"/>
        </w:rPr>
        <w:t>2</w:t>
      </w:r>
      <w:r w:rsidRPr="007F6264">
        <w:rPr>
          <w:rFonts w:ascii="Arial" w:hAnsi="Arial" w:cs="Arial"/>
          <w:noProof/>
          <w:sz w:val="24"/>
          <w:szCs w:val="15"/>
        </w:rPr>
        <w:t xml:space="preserve">. </w:t>
      </w:r>
      <w:r w:rsidR="00C20CD3">
        <w:rPr>
          <w:rFonts w:ascii="Arial" w:hAnsi="Arial" w:cs="Arial"/>
          <w:noProof/>
          <w:sz w:val="24"/>
          <w:szCs w:val="15"/>
        </w:rPr>
        <w:t>února</w:t>
      </w:r>
      <w:r w:rsidRPr="007F6264">
        <w:rPr>
          <w:rFonts w:ascii="Arial" w:hAnsi="Arial" w:cs="Arial"/>
          <w:noProof/>
          <w:sz w:val="24"/>
          <w:szCs w:val="15"/>
        </w:rPr>
        <w:t xml:space="preserve"> 202</w:t>
      </w:r>
      <w:r w:rsidR="000820EA">
        <w:rPr>
          <w:rFonts w:ascii="Arial" w:hAnsi="Arial" w:cs="Arial"/>
          <w:noProof/>
          <w:sz w:val="24"/>
          <w:szCs w:val="15"/>
        </w:rPr>
        <w:t>3</w:t>
      </w:r>
    </w:p>
    <w:p w14:paraId="29BA8A55" w14:textId="396978F9" w:rsidR="007A6A6C" w:rsidRPr="007F6264" w:rsidRDefault="007A6A6C" w:rsidP="00C16EFA">
      <w:pPr>
        <w:pStyle w:val="Nadpis1"/>
        <w:spacing w:before="0" w:beforeAutospacing="0" w:after="0" w:afterAutospacing="0"/>
        <w:jc w:val="right"/>
        <w:rPr>
          <w:rFonts w:ascii="Arial" w:hAnsi="Arial" w:cs="Arial"/>
          <w:noProof/>
          <w:sz w:val="24"/>
          <w:szCs w:val="15"/>
        </w:rPr>
      </w:pPr>
    </w:p>
    <w:p w14:paraId="1E52C452" w14:textId="77777777" w:rsidR="00DC22DE" w:rsidRPr="007F6264" w:rsidRDefault="00DC22DE" w:rsidP="00C16EFA">
      <w:pPr>
        <w:pStyle w:val="Nadpis1"/>
        <w:spacing w:before="0" w:beforeAutospacing="0" w:after="0" w:afterAutospacing="0"/>
        <w:jc w:val="right"/>
        <w:rPr>
          <w:rFonts w:ascii="Arial" w:hAnsi="Arial" w:cs="Arial"/>
          <w:noProof/>
          <w:sz w:val="22"/>
          <w:szCs w:val="22"/>
        </w:rPr>
      </w:pPr>
    </w:p>
    <w:p w14:paraId="2E91879E" w14:textId="3B399386" w:rsidR="007F6264" w:rsidRPr="007F6264" w:rsidRDefault="007F6264" w:rsidP="00C16EFA">
      <w:pPr>
        <w:spacing w:after="0" w:line="240" w:lineRule="auto"/>
        <w:rPr>
          <w:rFonts w:ascii="Arial" w:hAnsi="Arial" w:cs="Arial"/>
          <w:b/>
          <w:bCs/>
          <w:sz w:val="40"/>
          <w:szCs w:val="40"/>
        </w:rPr>
      </w:pPr>
      <w:r w:rsidRPr="007F6264">
        <w:rPr>
          <w:rFonts w:ascii="Arial" w:hAnsi="Arial" w:cs="Arial"/>
          <w:b/>
          <w:bCs/>
          <w:sz w:val="40"/>
          <w:szCs w:val="40"/>
        </w:rPr>
        <w:t>Investiční výhled společnosti CYRRUS pro rok 202</w:t>
      </w:r>
      <w:r w:rsidR="000820EA">
        <w:rPr>
          <w:rFonts w:ascii="Arial" w:hAnsi="Arial" w:cs="Arial"/>
          <w:b/>
          <w:bCs/>
          <w:sz w:val="40"/>
          <w:szCs w:val="40"/>
        </w:rPr>
        <w:t>3</w:t>
      </w:r>
    </w:p>
    <w:p w14:paraId="7D9C5210" w14:textId="5989A468" w:rsidR="00D86B39" w:rsidRDefault="00D86B39" w:rsidP="00C16EFA">
      <w:pPr>
        <w:spacing w:after="0" w:line="240" w:lineRule="auto"/>
        <w:rPr>
          <w:rFonts w:ascii="Arial" w:hAnsi="Arial" w:cs="Arial"/>
          <w:sz w:val="22"/>
        </w:rPr>
      </w:pPr>
    </w:p>
    <w:p w14:paraId="3F88F24A" w14:textId="31743124" w:rsidR="00EA6CD3" w:rsidRDefault="00EA6CD3" w:rsidP="00C16EFA">
      <w:pPr>
        <w:spacing w:after="0" w:line="240" w:lineRule="auto"/>
        <w:rPr>
          <w:rFonts w:ascii="Arial" w:hAnsi="Arial" w:cs="Arial"/>
          <w:b/>
          <w:bCs/>
          <w:sz w:val="22"/>
        </w:rPr>
      </w:pPr>
    </w:p>
    <w:p w14:paraId="04983C7D" w14:textId="1159BB38" w:rsidR="00EC7711" w:rsidRDefault="00EA6CD3" w:rsidP="00EA6CD3">
      <w:pPr>
        <w:spacing w:after="0" w:line="240" w:lineRule="auto"/>
        <w:rPr>
          <w:rFonts w:ascii="Arial" w:hAnsi="Arial" w:cs="Arial"/>
          <w:b/>
          <w:bCs/>
          <w:sz w:val="22"/>
        </w:rPr>
      </w:pPr>
      <w:r>
        <w:rPr>
          <w:rFonts w:ascii="Arial" w:hAnsi="Arial" w:cs="Arial"/>
          <w:b/>
          <w:bCs/>
          <w:sz w:val="22"/>
        </w:rPr>
        <w:t>Společnost CYRRUS dnes představila svůj investiční výhled na rok 2023. Pro ekonomiku eurozóny, USA i Česka v ní předpovídá výrazné zpomalení, ovšem všechny by měly dosáhnout kladného růstu HDP. Od akciových trhů analytici předpokládají, že zůstanou pod tlakem zpřísňování politiky centrálních bank, ovšem oproti loňsku by situace měla být již méně napjatá. Největší potenciál momentálně spatřují na evropském trhu a v sektorech bankovnictví a prodeji spotřebního zboží.</w:t>
      </w:r>
      <w:r w:rsidR="00317AF0">
        <w:rPr>
          <w:rFonts w:ascii="Arial" w:hAnsi="Arial" w:cs="Arial"/>
          <w:b/>
          <w:bCs/>
          <w:sz w:val="22"/>
        </w:rPr>
        <w:t xml:space="preserve"> </w:t>
      </w:r>
    </w:p>
    <w:p w14:paraId="3008CF38" w14:textId="77777777" w:rsidR="00C16EFA" w:rsidRDefault="00C16EFA" w:rsidP="009A29D7">
      <w:pPr>
        <w:spacing w:after="0" w:line="240" w:lineRule="auto"/>
        <w:rPr>
          <w:rFonts w:ascii="Arial" w:hAnsi="Arial" w:cs="Arial"/>
          <w:b/>
          <w:bCs/>
          <w:sz w:val="22"/>
        </w:rPr>
      </w:pPr>
    </w:p>
    <w:p w14:paraId="6E9F3C43" w14:textId="4CFE9D5B" w:rsidR="007F6264" w:rsidRDefault="00EA6CD3" w:rsidP="00C16EFA">
      <w:pPr>
        <w:spacing w:after="0" w:line="240" w:lineRule="auto"/>
        <w:rPr>
          <w:rFonts w:ascii="Arial" w:hAnsi="Arial" w:cs="Arial"/>
          <w:b/>
          <w:bCs/>
          <w:sz w:val="22"/>
        </w:rPr>
      </w:pPr>
      <w:r>
        <w:rPr>
          <w:rFonts w:ascii="Arial" w:hAnsi="Arial" w:cs="Arial"/>
          <w:b/>
          <w:bCs/>
          <w:sz w:val="22"/>
        </w:rPr>
        <w:t xml:space="preserve">Česká ekonomika by měla v roce 2023 vykázat růst o </w:t>
      </w:r>
      <w:r w:rsidR="00F4343C">
        <w:rPr>
          <w:rFonts w:ascii="Arial" w:hAnsi="Arial" w:cs="Arial"/>
          <w:b/>
          <w:bCs/>
          <w:sz w:val="22"/>
        </w:rPr>
        <w:t>jedno procento</w:t>
      </w:r>
      <w:r w:rsidR="00C20CD3">
        <w:rPr>
          <w:rFonts w:ascii="Arial" w:hAnsi="Arial" w:cs="Arial"/>
          <w:b/>
          <w:bCs/>
          <w:sz w:val="22"/>
        </w:rPr>
        <w:t>.</w:t>
      </w:r>
    </w:p>
    <w:p w14:paraId="352D979A" w14:textId="77777777" w:rsidR="00EA6CD3" w:rsidRPr="001F4169" w:rsidRDefault="00EA6CD3" w:rsidP="00C16EFA">
      <w:pPr>
        <w:spacing w:after="0" w:line="240" w:lineRule="auto"/>
        <w:rPr>
          <w:rFonts w:ascii="Arial" w:hAnsi="Arial" w:cs="Arial"/>
          <w:b/>
          <w:bCs/>
          <w:sz w:val="22"/>
        </w:rPr>
      </w:pPr>
    </w:p>
    <w:p w14:paraId="0441C21F" w14:textId="0A0B2A5A" w:rsidR="005F48AD" w:rsidRDefault="005F48AD" w:rsidP="00C16EFA">
      <w:pPr>
        <w:spacing w:after="0" w:line="240" w:lineRule="auto"/>
        <w:rPr>
          <w:rFonts w:ascii="Arial" w:hAnsi="Arial" w:cs="Arial"/>
          <w:sz w:val="22"/>
        </w:rPr>
      </w:pPr>
      <w:r w:rsidRPr="005F48AD">
        <w:rPr>
          <w:rFonts w:ascii="Arial" w:hAnsi="Arial" w:cs="Arial"/>
          <w:sz w:val="22"/>
        </w:rPr>
        <w:t>Uplynulé tři roky se v rámci celého západního světa řadily k těm obtížnějším, ovšem Česko patřilo k vůbec největším smolařům</w:t>
      </w:r>
      <w:r w:rsidR="00F4343C">
        <w:rPr>
          <w:rFonts w:ascii="Arial" w:hAnsi="Arial" w:cs="Arial"/>
          <w:sz w:val="22"/>
        </w:rPr>
        <w:t xml:space="preserve">, soudí analytici </w:t>
      </w:r>
      <w:proofErr w:type="spellStart"/>
      <w:r w:rsidR="00F4343C">
        <w:rPr>
          <w:rFonts w:ascii="Arial" w:hAnsi="Arial" w:cs="Arial"/>
          <w:sz w:val="22"/>
        </w:rPr>
        <w:t>CYRRUSu</w:t>
      </w:r>
      <w:proofErr w:type="spellEnd"/>
      <w:r w:rsidRPr="005F48AD">
        <w:rPr>
          <w:rFonts w:ascii="Arial" w:hAnsi="Arial" w:cs="Arial"/>
          <w:sz w:val="22"/>
        </w:rPr>
        <w:t>. Po pandemii, která právě českou ekonomiku zasáhla nadprůměrně silně, přišla válka na Ukrajině, která Česko opět poškodí více, nežli ostatní země.</w:t>
      </w:r>
      <w:r>
        <w:rPr>
          <w:rFonts w:ascii="Arial" w:hAnsi="Arial" w:cs="Arial"/>
          <w:sz w:val="22"/>
        </w:rPr>
        <w:t xml:space="preserve"> </w:t>
      </w:r>
      <w:r w:rsidRPr="005F48AD">
        <w:rPr>
          <w:rFonts w:ascii="Arial" w:hAnsi="Arial" w:cs="Arial"/>
          <w:sz w:val="22"/>
        </w:rPr>
        <w:t>Prakticky 100% závislost na ruském plynu a zaměření na energeticky náročnou průmyslovou výrobu znamená, že ani v roce 2023 nelze čekat mohutné ekonomické odražení, které marně vyhlížíme již od pandemie.</w:t>
      </w:r>
      <w:r>
        <w:rPr>
          <w:rFonts w:ascii="Arial" w:hAnsi="Arial" w:cs="Arial"/>
          <w:sz w:val="22"/>
        </w:rPr>
        <w:t xml:space="preserve"> Nepomáhá ani pokles koupěschopnosti obyvatel způsobený dvoucifernou inflací a na české nepoměry nezvykle vysoké úrokové sazby, kterými se Česká národní banka proti inflaci snaží bojovat.</w:t>
      </w:r>
    </w:p>
    <w:p w14:paraId="0E3AC216" w14:textId="77777777" w:rsidR="005F48AD" w:rsidRDefault="005F48AD" w:rsidP="00C16EFA">
      <w:pPr>
        <w:spacing w:after="0" w:line="240" w:lineRule="auto"/>
        <w:rPr>
          <w:rFonts w:ascii="Arial" w:hAnsi="Arial" w:cs="Arial"/>
          <w:sz w:val="22"/>
        </w:rPr>
      </w:pPr>
    </w:p>
    <w:p w14:paraId="6B926169" w14:textId="768F319D" w:rsidR="007F6264" w:rsidRPr="007F6264" w:rsidRDefault="007F6264" w:rsidP="00C16EFA">
      <w:pPr>
        <w:spacing w:after="0" w:line="240" w:lineRule="auto"/>
        <w:rPr>
          <w:rFonts w:ascii="Arial" w:hAnsi="Arial" w:cs="Arial"/>
          <w:sz w:val="22"/>
        </w:rPr>
      </w:pPr>
      <w:r w:rsidRPr="001F4169">
        <w:rPr>
          <w:rFonts w:ascii="Arial" w:hAnsi="Arial" w:cs="Arial"/>
          <w:i/>
          <w:iCs/>
          <w:sz w:val="22"/>
        </w:rPr>
        <w:t>„</w:t>
      </w:r>
      <w:r w:rsidR="005F48AD" w:rsidRPr="005F48AD">
        <w:rPr>
          <w:rFonts w:ascii="Arial" w:hAnsi="Arial" w:cs="Arial"/>
          <w:i/>
          <w:iCs/>
          <w:sz w:val="22"/>
        </w:rPr>
        <w:t>Dosavadní odolnost českého průmyslu a zlepšující se situace na energetických trzích nás ovšem naplňuje mírným optimismem a od české ekonomiky tak čekáme růst poblíž 1,0 %. I nadále ovšem platí, že se spíše jedná o efekt nízké srovnávací základny, jelikož právě Česko zůstává v rámci Evropy jednou ze zemí, které mají po pandemii stále co dohánět</w:t>
      </w:r>
      <w:r w:rsidR="00C20CD3">
        <w:rPr>
          <w:rFonts w:ascii="Arial" w:hAnsi="Arial" w:cs="Arial"/>
          <w:i/>
          <w:iCs/>
          <w:sz w:val="22"/>
        </w:rPr>
        <w:t>,</w:t>
      </w:r>
      <w:r w:rsidR="005F48AD">
        <w:rPr>
          <w:rFonts w:ascii="Arial" w:hAnsi="Arial" w:cs="Arial"/>
          <w:i/>
          <w:iCs/>
          <w:sz w:val="22"/>
        </w:rPr>
        <w:t xml:space="preserve">“ </w:t>
      </w:r>
      <w:r w:rsidRPr="007F6264">
        <w:rPr>
          <w:rFonts w:ascii="Arial" w:hAnsi="Arial" w:cs="Arial"/>
          <w:sz w:val="22"/>
        </w:rPr>
        <w:t>říká Vít Hradil, hlavní ekonom společnosti CYRRUS.</w:t>
      </w:r>
    </w:p>
    <w:p w14:paraId="4496AF22" w14:textId="77777777" w:rsidR="001F4169" w:rsidRDefault="001F4169" w:rsidP="00C16EFA">
      <w:pPr>
        <w:spacing w:after="0" w:line="240" w:lineRule="auto"/>
        <w:rPr>
          <w:rFonts w:ascii="Arial" w:hAnsi="Arial" w:cs="Arial"/>
          <w:sz w:val="22"/>
        </w:rPr>
      </w:pPr>
    </w:p>
    <w:p w14:paraId="5F42B4AE" w14:textId="23433349" w:rsidR="005F48AD" w:rsidRDefault="005F48AD" w:rsidP="00C16EFA">
      <w:pPr>
        <w:spacing w:after="0" w:line="240" w:lineRule="auto"/>
        <w:rPr>
          <w:rFonts w:ascii="Arial" w:hAnsi="Arial" w:cs="Arial"/>
          <w:sz w:val="22"/>
        </w:rPr>
      </w:pPr>
      <w:r w:rsidRPr="005F48AD">
        <w:rPr>
          <w:rFonts w:ascii="Arial" w:hAnsi="Arial" w:cs="Arial"/>
          <w:i/>
          <w:sz w:val="22"/>
        </w:rPr>
        <w:t>„Pokud lze na vývoji české ekonomiky v roce 2022 nalézt jedno pozitivum, pak se jedná o nadále vel</w:t>
      </w:r>
      <w:r>
        <w:rPr>
          <w:rFonts w:ascii="Arial" w:hAnsi="Arial" w:cs="Arial"/>
          <w:i/>
          <w:sz w:val="22"/>
        </w:rPr>
        <w:t xml:space="preserve">ice nízkou míru nezaměstnanosti. </w:t>
      </w:r>
      <w:r w:rsidRPr="005F48AD">
        <w:rPr>
          <w:rFonts w:ascii="Arial" w:hAnsi="Arial" w:cs="Arial"/>
          <w:i/>
          <w:sz w:val="22"/>
        </w:rPr>
        <w:t xml:space="preserve">Drama v tomto ohledu neočekáváme ani v roce 2023, kde sice část podniků – speciálně pak těch s vyšší energetickou náročností – k propouštění sáhne, ovšem na trhu práce nadále panuje po pracovnících hlad a tito tak ve většině </w:t>
      </w:r>
      <w:r>
        <w:rPr>
          <w:rFonts w:ascii="Arial" w:hAnsi="Arial" w:cs="Arial"/>
          <w:i/>
          <w:sz w:val="22"/>
        </w:rPr>
        <w:t>případů naleznou nové uplatnění,</w:t>
      </w:r>
      <w:r w:rsidRPr="005F48AD">
        <w:rPr>
          <w:rFonts w:ascii="Arial" w:hAnsi="Arial" w:cs="Arial"/>
          <w:i/>
          <w:sz w:val="22"/>
        </w:rPr>
        <w:t>“</w:t>
      </w:r>
      <w:r>
        <w:rPr>
          <w:rFonts w:ascii="Arial" w:hAnsi="Arial" w:cs="Arial"/>
          <w:sz w:val="22"/>
        </w:rPr>
        <w:t xml:space="preserve"> věří Hradil. </w:t>
      </w:r>
      <w:r w:rsidRPr="005F48AD">
        <w:rPr>
          <w:rFonts w:ascii="Arial" w:hAnsi="Arial" w:cs="Arial"/>
          <w:sz w:val="22"/>
        </w:rPr>
        <w:t xml:space="preserve">Méně příznivě ovšem </w:t>
      </w:r>
      <w:r>
        <w:rPr>
          <w:rFonts w:ascii="Arial" w:hAnsi="Arial" w:cs="Arial"/>
          <w:sz w:val="22"/>
        </w:rPr>
        <w:t xml:space="preserve">podle analytiků </w:t>
      </w:r>
      <w:r w:rsidRPr="005F48AD">
        <w:rPr>
          <w:rFonts w:ascii="Arial" w:hAnsi="Arial" w:cs="Arial"/>
          <w:sz w:val="22"/>
        </w:rPr>
        <w:t>vyplývá statistika vyplácených mezd. Ty v roce 2022 pravděpodobně nominálně narostou o přibližně 7 %, což ovšem ani zdaleka nestačí na pokrytí spotřebitelské inflace, a reálné mzdy tak zamíří hluboko do záporu. Velkou úlevu</w:t>
      </w:r>
      <w:r w:rsidR="00A425DD">
        <w:rPr>
          <w:rFonts w:ascii="Arial" w:hAnsi="Arial" w:cs="Arial"/>
          <w:sz w:val="22"/>
        </w:rPr>
        <w:t xml:space="preserve"> </w:t>
      </w:r>
      <w:r w:rsidR="00E6105B">
        <w:rPr>
          <w:rFonts w:ascii="Arial" w:hAnsi="Arial" w:cs="Arial"/>
          <w:sz w:val="22"/>
        </w:rPr>
        <w:t>nelze čekat</w:t>
      </w:r>
      <w:r w:rsidRPr="005F48AD">
        <w:rPr>
          <w:rFonts w:ascii="Arial" w:hAnsi="Arial" w:cs="Arial"/>
          <w:sz w:val="22"/>
        </w:rPr>
        <w:t xml:space="preserve"> ani v roce 2023, kdy by reálné mzdy měly přibližně stagnovat.</w:t>
      </w:r>
    </w:p>
    <w:p w14:paraId="7386656A" w14:textId="77777777" w:rsidR="001F4169" w:rsidRDefault="001F4169" w:rsidP="00C16EFA">
      <w:pPr>
        <w:spacing w:after="0" w:line="240" w:lineRule="auto"/>
        <w:rPr>
          <w:rFonts w:ascii="Arial" w:hAnsi="Arial" w:cs="Arial"/>
          <w:sz w:val="22"/>
        </w:rPr>
      </w:pPr>
    </w:p>
    <w:p w14:paraId="1E20471D" w14:textId="0B231027" w:rsidR="007F6264" w:rsidRPr="000820EA" w:rsidRDefault="005F48AD" w:rsidP="00C16EFA">
      <w:pPr>
        <w:spacing w:after="0" w:line="240" w:lineRule="auto"/>
        <w:rPr>
          <w:rFonts w:ascii="Arial" w:hAnsi="Arial" w:cs="Arial"/>
          <w:iCs/>
          <w:sz w:val="22"/>
        </w:rPr>
      </w:pPr>
      <w:r>
        <w:rPr>
          <w:rFonts w:ascii="Arial" w:hAnsi="Arial" w:cs="Arial"/>
          <w:sz w:val="22"/>
        </w:rPr>
        <w:t xml:space="preserve">Od inflace si podle </w:t>
      </w:r>
      <w:proofErr w:type="spellStart"/>
      <w:r>
        <w:rPr>
          <w:rFonts w:ascii="Arial" w:hAnsi="Arial" w:cs="Arial"/>
          <w:sz w:val="22"/>
        </w:rPr>
        <w:t>CYRRUSu</w:t>
      </w:r>
      <w:proofErr w:type="spellEnd"/>
      <w:r>
        <w:rPr>
          <w:rFonts w:ascii="Arial" w:hAnsi="Arial" w:cs="Arial"/>
          <w:sz w:val="22"/>
        </w:rPr>
        <w:t xml:space="preserve"> neodpočineme ani letos. </w:t>
      </w:r>
      <w:r w:rsidRPr="005F48AD">
        <w:rPr>
          <w:rFonts w:ascii="Arial" w:hAnsi="Arial" w:cs="Arial"/>
          <w:sz w:val="22"/>
        </w:rPr>
        <w:t xml:space="preserve">Začátek roku přinese </w:t>
      </w:r>
      <w:r>
        <w:rPr>
          <w:rFonts w:ascii="Arial" w:hAnsi="Arial" w:cs="Arial"/>
          <w:sz w:val="22"/>
        </w:rPr>
        <w:t>její</w:t>
      </w:r>
      <w:r w:rsidRPr="005F48AD">
        <w:rPr>
          <w:rFonts w:ascii="Arial" w:hAnsi="Arial" w:cs="Arial"/>
          <w:sz w:val="22"/>
        </w:rPr>
        <w:t xml:space="preserve"> další zrychlení, když se do cenových statistik propíše novoroční zvýšení cen elektřiny a zemního plynu u většiny domácností až na vládou stanovené stropy, ovšem následovat by již mělo znatelné uklidnění</w:t>
      </w:r>
      <w:r w:rsidR="000820EA">
        <w:rPr>
          <w:rFonts w:ascii="Arial" w:hAnsi="Arial" w:cs="Arial"/>
          <w:sz w:val="22"/>
        </w:rPr>
        <w:t xml:space="preserve">. </w:t>
      </w:r>
      <w:r w:rsidR="000820EA">
        <w:rPr>
          <w:rFonts w:ascii="Arial" w:hAnsi="Arial" w:cs="Arial"/>
          <w:i/>
          <w:sz w:val="22"/>
        </w:rPr>
        <w:t>„</w:t>
      </w:r>
      <w:r w:rsidR="000820EA" w:rsidRPr="000820EA">
        <w:rPr>
          <w:rFonts w:ascii="Arial" w:hAnsi="Arial" w:cs="Arial"/>
          <w:i/>
          <w:sz w:val="22"/>
        </w:rPr>
        <w:t>Globálně k němu přispějí zlevňující komodity i námořní přeprava, v tuzemsku pak uvadající poptávka a svou roli sehraje i zvýšená srovnávací základna z roku 2022. Předpokládáme tak, že inflace bude v průběhu celého roku postupně slábnout, přičemž v průměru by měla dosáhnout přibližně 9 %</w:t>
      </w:r>
      <w:r w:rsidR="000820EA">
        <w:rPr>
          <w:rFonts w:ascii="Arial" w:hAnsi="Arial" w:cs="Arial"/>
          <w:i/>
          <w:sz w:val="22"/>
        </w:rPr>
        <w:t>,“</w:t>
      </w:r>
      <w:r w:rsidR="000820EA">
        <w:rPr>
          <w:rFonts w:ascii="Arial" w:hAnsi="Arial" w:cs="Arial"/>
          <w:sz w:val="22"/>
        </w:rPr>
        <w:t xml:space="preserve"> dodává Hradil.</w:t>
      </w:r>
    </w:p>
    <w:p w14:paraId="5754EEE9" w14:textId="77777777" w:rsidR="007F6264" w:rsidRPr="007F6264" w:rsidRDefault="007F6264" w:rsidP="00C16EFA">
      <w:pPr>
        <w:spacing w:after="0" w:line="240" w:lineRule="auto"/>
        <w:rPr>
          <w:rFonts w:ascii="Arial" w:hAnsi="Arial" w:cs="Arial"/>
          <w:sz w:val="22"/>
        </w:rPr>
      </w:pPr>
    </w:p>
    <w:p w14:paraId="705E5681" w14:textId="7831685A" w:rsidR="007F6264" w:rsidRPr="000820EA" w:rsidRDefault="000820EA" w:rsidP="00C16EFA">
      <w:pPr>
        <w:spacing w:after="0" w:line="240" w:lineRule="auto"/>
        <w:rPr>
          <w:rFonts w:ascii="Arial" w:hAnsi="Arial" w:cs="Arial"/>
          <w:b/>
          <w:bCs/>
          <w:iCs/>
          <w:sz w:val="22"/>
        </w:rPr>
      </w:pPr>
      <w:r w:rsidRPr="000820EA">
        <w:rPr>
          <w:rFonts w:ascii="Arial" w:hAnsi="Arial" w:cs="Arial"/>
          <w:b/>
          <w:bCs/>
          <w:iCs/>
          <w:sz w:val="22"/>
        </w:rPr>
        <w:t>Trhy pod tlakem centrálních bank</w:t>
      </w:r>
    </w:p>
    <w:p w14:paraId="1A7D4A25" w14:textId="78D7D70B" w:rsidR="000820EA" w:rsidRDefault="000820EA" w:rsidP="00C16EFA">
      <w:pPr>
        <w:spacing w:after="0" w:line="240" w:lineRule="auto"/>
        <w:rPr>
          <w:rFonts w:ascii="Arial" w:hAnsi="Arial" w:cs="Arial"/>
          <w:b/>
          <w:bCs/>
          <w:i/>
          <w:iCs/>
          <w:sz w:val="22"/>
        </w:rPr>
      </w:pPr>
    </w:p>
    <w:p w14:paraId="0B61ABD9" w14:textId="796764B2" w:rsidR="000820EA" w:rsidRPr="000820EA" w:rsidRDefault="000820EA" w:rsidP="00C16EFA">
      <w:pPr>
        <w:spacing w:after="0" w:line="240" w:lineRule="auto"/>
        <w:rPr>
          <w:rFonts w:ascii="Arial" w:hAnsi="Arial" w:cs="Arial"/>
          <w:sz w:val="22"/>
        </w:rPr>
      </w:pPr>
      <w:r w:rsidRPr="000820EA">
        <w:rPr>
          <w:rFonts w:ascii="Arial" w:hAnsi="Arial" w:cs="Arial"/>
          <w:bCs/>
          <w:i/>
          <w:iCs/>
          <w:sz w:val="22"/>
        </w:rPr>
        <w:t xml:space="preserve">„Faktor, který loni dominantně rozhodl o cenách aktiv, byl obrat v monetární politice hlavních centrálních bank. Pod hrozbou neřízené inflace byly banky přinuceny k mnohem tvrdší reakci, než </w:t>
      </w:r>
      <w:r>
        <w:rPr>
          <w:rFonts w:ascii="Arial" w:hAnsi="Arial" w:cs="Arial"/>
          <w:bCs/>
          <w:i/>
          <w:iCs/>
          <w:sz w:val="22"/>
        </w:rPr>
        <w:t>se očekávalo začátkem roku 2022,</w:t>
      </w:r>
      <w:r w:rsidRPr="000820EA">
        <w:rPr>
          <w:rFonts w:ascii="Arial" w:hAnsi="Arial" w:cs="Arial"/>
          <w:bCs/>
          <w:i/>
          <w:iCs/>
          <w:sz w:val="22"/>
        </w:rPr>
        <w:t>“</w:t>
      </w:r>
      <w:r>
        <w:rPr>
          <w:rFonts w:ascii="Arial" w:hAnsi="Arial" w:cs="Arial"/>
          <w:bCs/>
          <w:i/>
          <w:iCs/>
          <w:sz w:val="22"/>
        </w:rPr>
        <w:t xml:space="preserve"> </w:t>
      </w:r>
      <w:r w:rsidRPr="000820EA">
        <w:rPr>
          <w:rFonts w:ascii="Arial" w:hAnsi="Arial" w:cs="Arial"/>
          <w:bCs/>
          <w:iCs/>
          <w:sz w:val="22"/>
        </w:rPr>
        <w:t>upozorňuje Tomáš Pfeiler, portfolio manažer společnosti CYRRUS.</w:t>
      </w:r>
      <w:r>
        <w:rPr>
          <w:rFonts w:ascii="Arial" w:hAnsi="Arial" w:cs="Arial"/>
          <w:sz w:val="22"/>
        </w:rPr>
        <w:t xml:space="preserve"> </w:t>
      </w:r>
      <w:r w:rsidRPr="000820EA">
        <w:rPr>
          <w:rFonts w:ascii="Arial" w:hAnsi="Arial" w:cs="Arial"/>
          <w:sz w:val="22"/>
        </w:rPr>
        <w:t>Jelikož se nyní nacházíme ve fázi, kdy inflační tlaky ustupují, existuje</w:t>
      </w:r>
      <w:r>
        <w:rPr>
          <w:rFonts w:ascii="Arial" w:hAnsi="Arial" w:cs="Arial"/>
          <w:sz w:val="22"/>
        </w:rPr>
        <w:t xml:space="preserve"> podle něj</w:t>
      </w:r>
      <w:r w:rsidRPr="000820EA">
        <w:rPr>
          <w:rFonts w:ascii="Arial" w:hAnsi="Arial" w:cs="Arial"/>
          <w:sz w:val="22"/>
        </w:rPr>
        <w:t xml:space="preserve"> slušná šance, že se sazby již přibližují svým terminálním úrovním – to platí zejména pro USA. Proto během letoška přinese monetární politika trhům méně negativní impuls než v uplynulých 12 měsících.</w:t>
      </w:r>
      <w:r>
        <w:rPr>
          <w:rFonts w:ascii="Arial" w:hAnsi="Arial" w:cs="Arial"/>
          <w:sz w:val="22"/>
        </w:rPr>
        <w:t xml:space="preserve"> </w:t>
      </w:r>
      <w:r>
        <w:rPr>
          <w:rFonts w:ascii="Arial" w:hAnsi="Arial" w:cs="Arial"/>
          <w:i/>
          <w:sz w:val="22"/>
        </w:rPr>
        <w:t>„</w:t>
      </w:r>
      <w:r w:rsidRPr="000820EA">
        <w:rPr>
          <w:rFonts w:ascii="Arial" w:hAnsi="Arial" w:cs="Arial"/>
          <w:i/>
          <w:sz w:val="22"/>
        </w:rPr>
        <w:t>Hlavní otázka letoška tak nezní</w:t>
      </w:r>
      <w:r w:rsidR="00C20CD3">
        <w:rPr>
          <w:rFonts w:ascii="Arial" w:hAnsi="Arial" w:cs="Arial"/>
          <w:i/>
          <w:sz w:val="22"/>
        </w:rPr>
        <w:t>,</w:t>
      </w:r>
      <w:r w:rsidRPr="000820EA">
        <w:rPr>
          <w:rFonts w:ascii="Arial" w:hAnsi="Arial" w:cs="Arial"/>
          <w:i/>
          <w:sz w:val="22"/>
        </w:rPr>
        <w:t xml:space="preserve"> jak vysoko se sazby vydají, ale jak reálná je naděje, že by</w:t>
      </w:r>
      <w:r>
        <w:rPr>
          <w:rFonts w:ascii="Arial" w:hAnsi="Arial" w:cs="Arial"/>
          <w:i/>
          <w:sz w:val="22"/>
        </w:rPr>
        <w:t xml:space="preserve"> mohlo dojít </w:t>
      </w:r>
      <w:r w:rsidR="00A425DD">
        <w:rPr>
          <w:rFonts w:ascii="Arial" w:hAnsi="Arial" w:cs="Arial"/>
          <w:i/>
          <w:sz w:val="22"/>
        </w:rPr>
        <w:t>k jejich snižování</w:t>
      </w:r>
      <w:r>
        <w:rPr>
          <w:rFonts w:ascii="Arial" w:hAnsi="Arial" w:cs="Arial"/>
          <w:i/>
          <w:sz w:val="22"/>
        </w:rPr>
        <w:t>,“</w:t>
      </w:r>
      <w:r>
        <w:rPr>
          <w:rFonts w:ascii="Arial" w:hAnsi="Arial" w:cs="Arial"/>
          <w:sz w:val="22"/>
        </w:rPr>
        <w:t xml:space="preserve"> očekává Pfeiler.</w:t>
      </w:r>
    </w:p>
    <w:p w14:paraId="1703223E" w14:textId="77777777" w:rsidR="00EA796B" w:rsidRDefault="00EA796B" w:rsidP="00C16EFA">
      <w:pPr>
        <w:spacing w:after="0" w:line="240" w:lineRule="auto"/>
        <w:rPr>
          <w:rFonts w:ascii="Arial" w:hAnsi="Arial" w:cs="Arial"/>
          <w:sz w:val="22"/>
        </w:rPr>
      </w:pPr>
    </w:p>
    <w:p w14:paraId="6E298859" w14:textId="33F37F24" w:rsidR="007F6264" w:rsidRDefault="000820EA" w:rsidP="00C16EFA">
      <w:pPr>
        <w:spacing w:after="0" w:line="240" w:lineRule="auto"/>
        <w:rPr>
          <w:rFonts w:ascii="Arial" w:hAnsi="Arial" w:cs="Arial"/>
          <w:b/>
          <w:bCs/>
          <w:sz w:val="22"/>
        </w:rPr>
      </w:pPr>
      <w:r>
        <w:rPr>
          <w:rFonts w:ascii="Arial" w:hAnsi="Arial" w:cs="Arial"/>
          <w:b/>
          <w:bCs/>
          <w:sz w:val="22"/>
        </w:rPr>
        <w:t>Možní vítězové – Evropa, bankovnictví, spotřební zboží</w:t>
      </w:r>
    </w:p>
    <w:p w14:paraId="79A40F33" w14:textId="77777777" w:rsidR="000820EA" w:rsidRPr="00D86B39" w:rsidRDefault="000820EA" w:rsidP="00C16EFA">
      <w:pPr>
        <w:spacing w:after="0" w:line="240" w:lineRule="auto"/>
        <w:rPr>
          <w:rFonts w:ascii="Arial" w:hAnsi="Arial" w:cs="Arial"/>
          <w:b/>
          <w:bCs/>
          <w:sz w:val="22"/>
        </w:rPr>
      </w:pPr>
    </w:p>
    <w:p w14:paraId="63E9F67D" w14:textId="1F211666" w:rsidR="00D86B39" w:rsidRPr="00F4343C" w:rsidRDefault="000820EA" w:rsidP="00C16EFA">
      <w:pPr>
        <w:spacing w:after="0" w:line="240" w:lineRule="auto"/>
        <w:rPr>
          <w:rFonts w:ascii="Arial" w:hAnsi="Arial" w:cs="Arial"/>
          <w:i/>
          <w:sz w:val="22"/>
        </w:rPr>
      </w:pPr>
      <w:r>
        <w:rPr>
          <w:rFonts w:ascii="Arial" w:hAnsi="Arial" w:cs="Arial"/>
          <w:i/>
          <w:sz w:val="22"/>
        </w:rPr>
        <w:lastRenderedPageBreak/>
        <w:t>„</w:t>
      </w:r>
      <w:r w:rsidRPr="000820EA">
        <w:rPr>
          <w:rFonts w:ascii="Arial" w:hAnsi="Arial" w:cs="Arial"/>
          <w:i/>
          <w:sz w:val="22"/>
        </w:rPr>
        <w:t xml:space="preserve">Americké trhy se </w:t>
      </w:r>
      <w:r>
        <w:rPr>
          <w:rFonts w:ascii="Arial" w:hAnsi="Arial" w:cs="Arial"/>
          <w:i/>
          <w:sz w:val="22"/>
        </w:rPr>
        <w:t>an</w:t>
      </w:r>
      <w:r w:rsidRPr="000820EA">
        <w:rPr>
          <w:rFonts w:ascii="Arial" w:hAnsi="Arial" w:cs="Arial"/>
          <w:i/>
          <w:sz w:val="22"/>
        </w:rPr>
        <w:t xml:space="preserve">i přes loňskou korekci nezdají příliš levné, což je dáno také složením indexu S&amp;P 500, kdy velkou část indexu tvoří </w:t>
      </w:r>
      <w:r w:rsidR="00730799">
        <w:rPr>
          <w:rFonts w:ascii="Arial" w:hAnsi="Arial" w:cs="Arial"/>
          <w:i/>
          <w:sz w:val="22"/>
        </w:rPr>
        <w:t>odvětví</w:t>
      </w:r>
      <w:r w:rsidRPr="000820EA">
        <w:rPr>
          <w:rFonts w:ascii="Arial" w:hAnsi="Arial" w:cs="Arial"/>
          <w:i/>
          <w:sz w:val="22"/>
        </w:rPr>
        <w:t xml:space="preserve"> s tradičně vyššími valuacemi. Sektory, které vyšší valuace typicky mají, tak na svůj návrat k růstu budou muset nějakou dobu počkat – mezi nimi například</w:t>
      </w:r>
      <w:r>
        <w:rPr>
          <w:rFonts w:ascii="Arial" w:hAnsi="Arial" w:cs="Arial"/>
          <w:i/>
          <w:sz w:val="22"/>
        </w:rPr>
        <w:t xml:space="preserve"> i technologie nebo nemovitosti,“ </w:t>
      </w:r>
      <w:r>
        <w:rPr>
          <w:rFonts w:ascii="Arial" w:hAnsi="Arial" w:cs="Arial"/>
          <w:sz w:val="22"/>
        </w:rPr>
        <w:t>říká hlavní analytička společnosti CYRRUS, Anna P</w:t>
      </w:r>
      <w:r w:rsidR="00F4343C">
        <w:rPr>
          <w:rFonts w:ascii="Arial" w:hAnsi="Arial" w:cs="Arial"/>
          <w:sz w:val="22"/>
        </w:rPr>
        <w:t xml:space="preserve">íchová, a dodává: </w:t>
      </w:r>
      <w:r w:rsidR="00F4343C">
        <w:rPr>
          <w:rFonts w:ascii="Arial" w:hAnsi="Arial" w:cs="Arial"/>
          <w:i/>
          <w:sz w:val="22"/>
        </w:rPr>
        <w:t>„</w:t>
      </w:r>
      <w:r w:rsidR="00F4343C" w:rsidRPr="00F4343C">
        <w:rPr>
          <w:rFonts w:ascii="Arial" w:hAnsi="Arial" w:cs="Arial"/>
          <w:i/>
          <w:sz w:val="22"/>
        </w:rPr>
        <w:t>Když se však podíváme na starý kontinent, akciové trhy v Evropě vypadají z poh</w:t>
      </w:r>
      <w:r w:rsidR="00F4343C">
        <w:rPr>
          <w:rFonts w:ascii="Arial" w:hAnsi="Arial" w:cs="Arial"/>
          <w:i/>
          <w:sz w:val="22"/>
        </w:rPr>
        <w:t xml:space="preserve">ledu valuací mnohem lépe. </w:t>
      </w:r>
      <w:r w:rsidR="00F4343C" w:rsidRPr="00F4343C">
        <w:rPr>
          <w:rFonts w:ascii="Arial" w:hAnsi="Arial" w:cs="Arial"/>
          <w:i/>
          <w:sz w:val="22"/>
        </w:rPr>
        <w:t>Čistě z pohledu tržního ocenění je tak evropský trh zajímavější než ten americký</w:t>
      </w:r>
      <w:r w:rsidR="00C20CD3">
        <w:rPr>
          <w:rFonts w:ascii="Arial" w:hAnsi="Arial" w:cs="Arial"/>
          <w:i/>
          <w:sz w:val="22"/>
        </w:rPr>
        <w:t>.</w:t>
      </w:r>
      <w:r w:rsidR="00F4343C">
        <w:rPr>
          <w:rFonts w:ascii="Arial" w:hAnsi="Arial" w:cs="Arial"/>
          <w:i/>
          <w:sz w:val="22"/>
        </w:rPr>
        <w:t>“</w:t>
      </w:r>
    </w:p>
    <w:p w14:paraId="6FAA2A93" w14:textId="77777777" w:rsidR="0047072B" w:rsidRDefault="0047072B" w:rsidP="00C16EFA">
      <w:pPr>
        <w:spacing w:after="0" w:line="240" w:lineRule="auto"/>
        <w:rPr>
          <w:rFonts w:ascii="Arial" w:hAnsi="Arial" w:cs="Arial"/>
          <w:sz w:val="22"/>
        </w:rPr>
      </w:pPr>
    </w:p>
    <w:p w14:paraId="015BABF2" w14:textId="514F6543" w:rsidR="00E26494" w:rsidRDefault="00F4343C" w:rsidP="00C16EFA">
      <w:pPr>
        <w:spacing w:after="0" w:line="240" w:lineRule="auto"/>
        <w:jc w:val="both"/>
        <w:rPr>
          <w:rFonts w:ascii="Arial" w:hAnsi="Arial" w:cs="Arial"/>
          <w:sz w:val="22"/>
        </w:rPr>
      </w:pPr>
      <w:r>
        <w:rPr>
          <w:rFonts w:ascii="Arial" w:hAnsi="Arial" w:cs="Arial"/>
          <w:sz w:val="22"/>
        </w:rPr>
        <w:t xml:space="preserve">Mezi letošní investiční vítěze se podle analytiků zařadí hlavně banky. </w:t>
      </w:r>
      <w:r>
        <w:rPr>
          <w:rFonts w:ascii="Arial" w:hAnsi="Arial" w:cs="Arial"/>
          <w:i/>
          <w:sz w:val="22"/>
        </w:rPr>
        <w:t>„</w:t>
      </w:r>
      <w:r w:rsidRPr="00F4343C">
        <w:rPr>
          <w:rFonts w:ascii="Arial" w:hAnsi="Arial" w:cs="Arial"/>
          <w:i/>
          <w:sz w:val="22"/>
        </w:rPr>
        <w:t>Jde o cyklický a hodnotový sektor. Akcie se obchodují na smysluplných násobcích či</w:t>
      </w:r>
      <w:r>
        <w:rPr>
          <w:rFonts w:ascii="Arial" w:hAnsi="Arial" w:cs="Arial"/>
          <w:i/>
          <w:sz w:val="22"/>
        </w:rPr>
        <w:t>stého zisku nebo účetní hodnoty,“</w:t>
      </w:r>
      <w:r>
        <w:rPr>
          <w:rFonts w:ascii="Arial" w:hAnsi="Arial" w:cs="Arial"/>
          <w:sz w:val="22"/>
        </w:rPr>
        <w:t xml:space="preserve"> vysvětluje Anna Píchová. </w:t>
      </w:r>
      <w:r w:rsidRPr="00F4343C">
        <w:rPr>
          <w:rFonts w:ascii="Arial" w:hAnsi="Arial" w:cs="Arial"/>
          <w:sz w:val="22"/>
        </w:rPr>
        <w:t xml:space="preserve">Finančním domům na obou stranách Atlantiku </w:t>
      </w:r>
      <w:r>
        <w:rPr>
          <w:rFonts w:ascii="Arial" w:hAnsi="Arial" w:cs="Arial"/>
          <w:sz w:val="22"/>
        </w:rPr>
        <w:t xml:space="preserve">podle ní navíc </w:t>
      </w:r>
      <w:r w:rsidRPr="00F4343C">
        <w:rPr>
          <w:rFonts w:ascii="Arial" w:hAnsi="Arial" w:cs="Arial"/>
          <w:sz w:val="22"/>
        </w:rPr>
        <w:t>pomáhá prostředí vyšších sazeb.</w:t>
      </w:r>
      <w:r w:rsidRPr="00F4343C">
        <w:t xml:space="preserve"> </w:t>
      </w:r>
      <w:r w:rsidRPr="00F4343C">
        <w:rPr>
          <w:rFonts w:ascii="Arial" w:hAnsi="Arial" w:cs="Arial"/>
          <w:sz w:val="22"/>
        </w:rPr>
        <w:t xml:space="preserve">Doporučuje se zaměřit na stabilnější tituly s kvalitními bilancemi. </w:t>
      </w:r>
      <w:r w:rsidRPr="00F4343C">
        <w:rPr>
          <w:rFonts w:ascii="Arial" w:hAnsi="Arial" w:cs="Arial"/>
          <w:i/>
          <w:sz w:val="22"/>
        </w:rPr>
        <w:t>„V eurozóně se proto raději vyhýbáme bankám z periferních zemí. V případě amerického trhu preferujeme instituce, které mají menší expozici</w:t>
      </w:r>
      <w:r>
        <w:rPr>
          <w:rFonts w:ascii="Arial" w:hAnsi="Arial" w:cs="Arial"/>
          <w:i/>
          <w:sz w:val="22"/>
        </w:rPr>
        <w:t xml:space="preserve"> vůči investičnímu bankovnictví,“ </w:t>
      </w:r>
      <w:r w:rsidRPr="00F4343C">
        <w:rPr>
          <w:rFonts w:ascii="Arial" w:hAnsi="Arial" w:cs="Arial"/>
          <w:sz w:val="22"/>
        </w:rPr>
        <w:t>radí analytička.</w:t>
      </w:r>
    </w:p>
    <w:p w14:paraId="6DECA609" w14:textId="70151CF3" w:rsidR="00F4343C" w:rsidRDefault="00F4343C" w:rsidP="00C16EFA">
      <w:pPr>
        <w:spacing w:after="0" w:line="240" w:lineRule="auto"/>
        <w:jc w:val="both"/>
        <w:rPr>
          <w:rFonts w:ascii="Arial" w:hAnsi="Arial" w:cs="Arial"/>
          <w:sz w:val="22"/>
        </w:rPr>
      </w:pPr>
    </w:p>
    <w:p w14:paraId="75047C8D" w14:textId="28AAED80" w:rsidR="00F4343C" w:rsidRPr="00F4343C" w:rsidRDefault="00F4343C" w:rsidP="00C16EFA">
      <w:pPr>
        <w:spacing w:after="0" w:line="240" w:lineRule="auto"/>
        <w:jc w:val="both"/>
        <w:rPr>
          <w:rFonts w:ascii="Arial" w:hAnsi="Arial" w:cs="Arial"/>
          <w:i/>
          <w:sz w:val="22"/>
        </w:rPr>
      </w:pPr>
      <w:r>
        <w:rPr>
          <w:rFonts w:ascii="Arial" w:hAnsi="Arial" w:cs="Arial"/>
          <w:sz w:val="22"/>
        </w:rPr>
        <w:t xml:space="preserve">Důležitou roli v letošním roce sehraje podle </w:t>
      </w:r>
      <w:proofErr w:type="spellStart"/>
      <w:r>
        <w:rPr>
          <w:rFonts w:ascii="Arial" w:hAnsi="Arial" w:cs="Arial"/>
          <w:sz w:val="22"/>
        </w:rPr>
        <w:t>CYRRUSu</w:t>
      </w:r>
      <w:proofErr w:type="spellEnd"/>
      <w:r>
        <w:rPr>
          <w:rFonts w:ascii="Arial" w:hAnsi="Arial" w:cs="Arial"/>
          <w:sz w:val="22"/>
        </w:rPr>
        <w:t xml:space="preserve"> </w:t>
      </w:r>
      <w:r w:rsidR="00A425DD">
        <w:rPr>
          <w:rFonts w:ascii="Arial" w:hAnsi="Arial" w:cs="Arial"/>
          <w:sz w:val="22"/>
        </w:rPr>
        <w:t xml:space="preserve">i </w:t>
      </w:r>
      <w:r>
        <w:rPr>
          <w:rFonts w:ascii="Arial" w:hAnsi="Arial" w:cs="Arial"/>
          <w:sz w:val="22"/>
        </w:rPr>
        <w:t xml:space="preserve">znovuotevření čínské ekonomiky po pandemických lockdownech. </w:t>
      </w:r>
      <w:r w:rsidRPr="00F4343C">
        <w:rPr>
          <w:rFonts w:ascii="Arial" w:hAnsi="Arial" w:cs="Arial"/>
          <w:sz w:val="22"/>
        </w:rPr>
        <w:t>Pro celosvětovou poptávku to znamená poměrně výrazný impuls, jelikož čínská spotřeba patří mezi tu hodně důležitou.</w:t>
      </w:r>
      <w:r>
        <w:rPr>
          <w:rFonts w:ascii="Arial" w:hAnsi="Arial" w:cs="Arial"/>
          <w:sz w:val="22"/>
        </w:rPr>
        <w:t xml:space="preserve"> </w:t>
      </w:r>
      <w:r>
        <w:rPr>
          <w:rFonts w:ascii="Arial" w:hAnsi="Arial" w:cs="Arial"/>
          <w:i/>
          <w:sz w:val="22"/>
        </w:rPr>
        <w:t>„</w:t>
      </w:r>
      <w:r w:rsidRPr="00F4343C">
        <w:rPr>
          <w:rFonts w:ascii="Arial" w:hAnsi="Arial" w:cs="Arial"/>
          <w:i/>
          <w:sz w:val="22"/>
        </w:rPr>
        <w:t>Právě z tohoto důvodu doporučujeme nasměřovat pozornost do sektoru spotřebního zboží.</w:t>
      </w:r>
      <w:r w:rsidRPr="00F4343C">
        <w:t xml:space="preserve"> </w:t>
      </w:r>
      <w:r w:rsidRPr="00F4343C">
        <w:rPr>
          <w:rFonts w:ascii="Arial" w:hAnsi="Arial" w:cs="Arial"/>
          <w:i/>
          <w:sz w:val="22"/>
        </w:rPr>
        <w:t>Zadržená covidová poptávka z Číny by měla prospívat cyklickému zboží, jako jsou luxusní značky, oděvní firmy, případně firmy v oblasti kosmetických produktů. Zde jsou atraktivní firmy napříč kontinenty – jak ty z trhu ve Spojených státech tak ty Evropské</w:t>
      </w:r>
      <w:r>
        <w:rPr>
          <w:rFonts w:ascii="Arial" w:hAnsi="Arial" w:cs="Arial"/>
          <w:i/>
          <w:sz w:val="22"/>
        </w:rPr>
        <w:t>,“</w:t>
      </w:r>
      <w:r w:rsidRPr="00F4343C">
        <w:rPr>
          <w:rFonts w:ascii="Arial" w:hAnsi="Arial" w:cs="Arial"/>
          <w:sz w:val="22"/>
        </w:rPr>
        <w:t xml:space="preserve"> uzavírá Anna Píchová.</w:t>
      </w:r>
    </w:p>
    <w:p w14:paraId="131EF077" w14:textId="77777777" w:rsidR="00962FC3" w:rsidRPr="007F6264" w:rsidRDefault="00962FC3" w:rsidP="00C16EFA">
      <w:pPr>
        <w:spacing w:after="0" w:line="240" w:lineRule="auto"/>
        <w:jc w:val="both"/>
        <w:rPr>
          <w:rFonts w:ascii="Arial" w:hAnsi="Arial" w:cs="Arial"/>
          <w:b/>
          <w:bCs/>
          <w:sz w:val="22"/>
        </w:rPr>
      </w:pPr>
    </w:p>
    <w:p w14:paraId="2D43CCC1" w14:textId="2394B74F" w:rsidR="00C70420" w:rsidRPr="007F6264" w:rsidRDefault="00C70420" w:rsidP="00C16EFA">
      <w:pPr>
        <w:spacing w:after="0" w:line="240" w:lineRule="auto"/>
        <w:jc w:val="both"/>
        <w:rPr>
          <w:rFonts w:ascii="Arial" w:hAnsi="Arial" w:cs="Arial"/>
          <w:sz w:val="22"/>
        </w:rPr>
      </w:pPr>
    </w:p>
    <w:p w14:paraId="3FCFE5A7" w14:textId="27C7850D" w:rsidR="004658F3" w:rsidRPr="007F6264" w:rsidRDefault="004658F3" w:rsidP="00C16EFA">
      <w:pPr>
        <w:spacing w:after="0" w:line="240" w:lineRule="auto"/>
        <w:jc w:val="both"/>
        <w:rPr>
          <w:rFonts w:ascii="Arial" w:hAnsi="Arial" w:cs="Arial"/>
          <w:sz w:val="22"/>
        </w:rPr>
      </w:pPr>
    </w:p>
    <w:tbl>
      <w:tblPr>
        <w:tblStyle w:val="Mkatabulky"/>
        <w:tblpPr w:leftFromText="142" w:rightFromText="142" w:vertAnchor="page" w:horzAnchor="margin" w:tblpY="11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2982"/>
        <w:gridCol w:w="2659"/>
      </w:tblGrid>
      <w:tr w:rsidR="00962FC3" w:rsidRPr="007F6264" w14:paraId="2C425CB2" w14:textId="77777777" w:rsidTr="003A734C">
        <w:trPr>
          <w:trHeight w:val="284"/>
        </w:trPr>
        <w:tc>
          <w:tcPr>
            <w:tcW w:w="2122" w:type="dxa"/>
            <w:tcBorders>
              <w:top w:val="single" w:sz="8" w:space="0" w:color="A6A6A6" w:themeColor="background1" w:themeShade="A6"/>
            </w:tcBorders>
          </w:tcPr>
          <w:p w14:paraId="24FBBF14" w14:textId="77777777" w:rsidR="00962FC3" w:rsidRPr="007F6264" w:rsidRDefault="00962FC3" w:rsidP="00C16EFA">
            <w:pPr>
              <w:pStyle w:val="Zpat"/>
              <w:jc w:val="both"/>
              <w:rPr>
                <w:rFonts w:ascii="Arial" w:hAnsi="Arial" w:cs="Arial"/>
                <w:color w:val="FFC832" w:themeColor="background2"/>
                <w:sz w:val="28"/>
              </w:rPr>
            </w:pPr>
          </w:p>
        </w:tc>
        <w:tc>
          <w:tcPr>
            <w:tcW w:w="8334" w:type="dxa"/>
            <w:gridSpan w:val="3"/>
            <w:tcBorders>
              <w:top w:val="single" w:sz="8" w:space="0" w:color="A6A6A6" w:themeColor="background1" w:themeShade="A6"/>
            </w:tcBorders>
          </w:tcPr>
          <w:p w14:paraId="68DE1E6E" w14:textId="77777777" w:rsidR="00962FC3" w:rsidRPr="007F6264" w:rsidRDefault="00962FC3" w:rsidP="00C16EFA">
            <w:pPr>
              <w:pStyle w:val="Zpat"/>
              <w:jc w:val="both"/>
              <w:rPr>
                <w:rFonts w:ascii="Arial" w:hAnsi="Arial" w:cs="Arial"/>
              </w:rPr>
            </w:pPr>
          </w:p>
        </w:tc>
      </w:tr>
      <w:tr w:rsidR="00962FC3" w:rsidRPr="007F6264" w14:paraId="0005179F" w14:textId="77777777" w:rsidTr="003A734C">
        <w:trPr>
          <w:trHeight w:val="1127"/>
        </w:trPr>
        <w:tc>
          <w:tcPr>
            <w:tcW w:w="2122" w:type="dxa"/>
          </w:tcPr>
          <w:p w14:paraId="08EAE060" w14:textId="77777777" w:rsidR="00962FC3" w:rsidRPr="007F6264" w:rsidRDefault="00962FC3" w:rsidP="00C16EFA">
            <w:pPr>
              <w:pStyle w:val="Zpat"/>
              <w:jc w:val="both"/>
              <w:rPr>
                <w:rFonts w:ascii="Arial" w:hAnsi="Arial" w:cs="Arial"/>
                <w:b/>
              </w:rPr>
            </w:pPr>
            <w:r w:rsidRPr="007F6264">
              <w:rPr>
                <w:rFonts w:ascii="Arial" w:hAnsi="Arial" w:cs="Arial"/>
                <w:b/>
                <w:color w:val="FFC832" w:themeColor="background2"/>
                <w:sz w:val="28"/>
              </w:rPr>
              <w:t>Investujte.</w:t>
            </w:r>
            <w:r w:rsidRPr="007F6264">
              <w:rPr>
                <w:rFonts w:ascii="Arial" w:hAnsi="Arial" w:cs="Arial"/>
                <w:b/>
                <w:color w:val="FFC832" w:themeColor="background2"/>
                <w:sz w:val="28"/>
              </w:rPr>
              <w:br/>
              <w:t>CYRRUS</w:t>
            </w:r>
          </w:p>
        </w:tc>
        <w:tc>
          <w:tcPr>
            <w:tcW w:w="8334" w:type="dxa"/>
            <w:gridSpan w:val="3"/>
          </w:tcPr>
          <w:p w14:paraId="35AE6FD5" w14:textId="77777777" w:rsidR="00962FC3" w:rsidRPr="007F6264" w:rsidRDefault="00962FC3" w:rsidP="00C16EFA">
            <w:pPr>
              <w:pStyle w:val="Zpat"/>
              <w:jc w:val="both"/>
              <w:rPr>
                <w:rFonts w:ascii="Arial" w:hAnsi="Arial" w:cs="Arial"/>
              </w:rPr>
            </w:pPr>
            <w:r w:rsidRPr="007F6264">
              <w:rPr>
                <w:rFonts w:ascii="Arial" w:hAnsi="Arial" w:cs="Arial"/>
              </w:rPr>
              <w:t xml:space="preserve">V roce 1995 jsme se vydali na cestu brokera. 25 let obchodujeme s cennými papíry, staráme se </w:t>
            </w:r>
            <w:r w:rsidRPr="007F6264">
              <w:rPr>
                <w:rFonts w:ascii="Arial" w:hAnsi="Arial" w:cs="Arial"/>
              </w:rPr>
              <w:br/>
              <w:t>o své klienty, reagujeme na dění ve světě a rozvíjíme se. Díky tomu vám můžeme přinášet stále nové služby a inovativní možnosti investování. Jsme CYRRUS.</w:t>
            </w:r>
          </w:p>
        </w:tc>
      </w:tr>
      <w:tr w:rsidR="00962FC3" w:rsidRPr="007F6264" w14:paraId="3684E0CB" w14:textId="77777777" w:rsidTr="003A734C">
        <w:trPr>
          <w:trHeight w:val="1895"/>
        </w:trPr>
        <w:tc>
          <w:tcPr>
            <w:tcW w:w="2122" w:type="dxa"/>
            <w:vMerge w:val="restart"/>
          </w:tcPr>
          <w:p w14:paraId="5E67EF0C" w14:textId="77777777" w:rsidR="00962FC3" w:rsidRPr="007F6264" w:rsidRDefault="00000000" w:rsidP="00C16EFA">
            <w:pPr>
              <w:pStyle w:val="Zpat"/>
              <w:jc w:val="both"/>
              <w:rPr>
                <w:rFonts w:ascii="Arial" w:hAnsi="Arial" w:cs="Arial"/>
                <w:sz w:val="16"/>
              </w:rPr>
            </w:pPr>
            <w:hyperlink r:id="rId8" w:history="1">
              <w:r w:rsidR="00962FC3" w:rsidRPr="007F6264">
                <w:rPr>
                  <w:rStyle w:val="Hypertextovodkaz"/>
                  <w:rFonts w:ascii="Arial" w:hAnsi="Arial" w:cs="Arial"/>
                  <w:sz w:val="16"/>
                </w:rPr>
                <w:t>Loga ke stažení</w:t>
              </w:r>
            </w:hyperlink>
          </w:p>
          <w:p w14:paraId="544A99B8" w14:textId="77777777" w:rsidR="00962FC3" w:rsidRPr="007F6264" w:rsidRDefault="00000000" w:rsidP="00C16EFA">
            <w:pPr>
              <w:pStyle w:val="Zpat"/>
              <w:jc w:val="both"/>
              <w:rPr>
                <w:rFonts w:ascii="Arial" w:hAnsi="Arial" w:cs="Arial"/>
                <w:sz w:val="16"/>
              </w:rPr>
            </w:pPr>
            <w:hyperlink r:id="rId9" w:history="1">
              <w:r w:rsidR="00962FC3" w:rsidRPr="007F6264">
                <w:rPr>
                  <w:rStyle w:val="Hypertextovodkaz"/>
                  <w:rFonts w:ascii="Arial" w:hAnsi="Arial" w:cs="Arial"/>
                  <w:sz w:val="16"/>
                </w:rPr>
                <w:t>Obecné fotografie</w:t>
              </w:r>
            </w:hyperlink>
          </w:p>
          <w:p w14:paraId="4CF800EF" w14:textId="77777777" w:rsidR="00962FC3" w:rsidRPr="007F6264" w:rsidRDefault="00962FC3" w:rsidP="00C16EFA">
            <w:pPr>
              <w:pStyle w:val="Zpat"/>
              <w:rPr>
                <w:rFonts w:ascii="Arial" w:hAnsi="Arial" w:cs="Arial"/>
                <w:sz w:val="16"/>
              </w:rPr>
            </w:pPr>
            <w:r w:rsidRPr="007F6264">
              <w:rPr>
                <w:rFonts w:ascii="Arial" w:hAnsi="Arial" w:cs="Arial"/>
                <w:sz w:val="16"/>
              </w:rPr>
              <w:t>Název společnosti píšeme velkými písmeny a neskloňujeme.</w:t>
            </w:r>
          </w:p>
          <w:p w14:paraId="6148A98A" w14:textId="77777777" w:rsidR="00962FC3" w:rsidRPr="007F6264" w:rsidRDefault="00962FC3" w:rsidP="00C16EFA">
            <w:pPr>
              <w:pStyle w:val="Zpat"/>
              <w:rPr>
                <w:rFonts w:ascii="Arial" w:hAnsi="Arial" w:cs="Arial"/>
                <w:sz w:val="16"/>
              </w:rPr>
            </w:pPr>
            <w:r w:rsidRPr="007F6264">
              <w:rPr>
                <w:rFonts w:ascii="Arial" w:hAnsi="Arial" w:cs="Arial"/>
                <w:sz w:val="16"/>
              </w:rPr>
              <w:t>Vyslovujeme [CYRRUS].</w:t>
            </w:r>
          </w:p>
          <w:p w14:paraId="3B9CEF5F" w14:textId="77777777" w:rsidR="00962FC3" w:rsidRPr="007F6264" w:rsidRDefault="00000000" w:rsidP="00C16EFA">
            <w:pPr>
              <w:pStyle w:val="Zpat"/>
              <w:jc w:val="both"/>
              <w:rPr>
                <w:rFonts w:ascii="Arial" w:hAnsi="Arial" w:cs="Arial"/>
                <w:sz w:val="16"/>
              </w:rPr>
            </w:pPr>
            <w:hyperlink r:id="rId10" w:history="1">
              <w:r w:rsidR="00962FC3" w:rsidRPr="007F6264">
                <w:rPr>
                  <w:rStyle w:val="Hypertextovodkaz"/>
                  <w:rFonts w:ascii="Arial" w:hAnsi="Arial" w:cs="Arial"/>
                  <w:sz w:val="16"/>
                </w:rPr>
                <w:t>WWW.CYRRUS.CZ</w:t>
              </w:r>
            </w:hyperlink>
          </w:p>
        </w:tc>
        <w:tc>
          <w:tcPr>
            <w:tcW w:w="2693" w:type="dxa"/>
          </w:tcPr>
          <w:p w14:paraId="0E97D9FE" w14:textId="77777777" w:rsidR="00962FC3" w:rsidRPr="007F6264" w:rsidRDefault="00962FC3" w:rsidP="00C16EFA">
            <w:pPr>
              <w:pStyle w:val="Zpat"/>
              <w:jc w:val="center"/>
              <w:rPr>
                <w:rFonts w:ascii="Arial" w:hAnsi="Arial" w:cs="Arial"/>
              </w:rPr>
            </w:pPr>
            <w:r w:rsidRPr="007F6264">
              <w:rPr>
                <w:rFonts w:ascii="Arial" w:hAnsi="Arial" w:cs="Arial"/>
                <w:noProof/>
                <w:lang w:eastAsia="cs-CZ"/>
              </w:rPr>
              <w:drawing>
                <wp:inline distT="0" distB="0" distL="0" distR="0" wp14:anchorId="49EE0B63" wp14:editId="4C37B7CB">
                  <wp:extent cx="1136488" cy="1136488"/>
                  <wp:effectExtent l="0" t="0" r="6985" b="6985"/>
                  <wp:docPr id="876" name="Obrázek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982" w:type="dxa"/>
          </w:tcPr>
          <w:p w14:paraId="7292ADE0" w14:textId="77777777" w:rsidR="00962FC3" w:rsidRPr="007F6264" w:rsidRDefault="00962FC3" w:rsidP="00C16EFA">
            <w:pPr>
              <w:pStyle w:val="Zpat"/>
              <w:jc w:val="center"/>
              <w:rPr>
                <w:rFonts w:ascii="Arial" w:hAnsi="Arial" w:cs="Arial"/>
              </w:rPr>
            </w:pPr>
            <w:r w:rsidRPr="007F6264">
              <w:rPr>
                <w:rFonts w:ascii="Arial" w:hAnsi="Arial" w:cs="Arial"/>
                <w:noProof/>
                <w:lang w:eastAsia="cs-CZ"/>
              </w:rPr>
              <w:drawing>
                <wp:inline distT="0" distB="0" distL="0" distR="0" wp14:anchorId="1092D6FE" wp14:editId="6C4E857E">
                  <wp:extent cx="1136488" cy="1136488"/>
                  <wp:effectExtent l="0" t="0" r="6985" b="6985"/>
                  <wp:docPr id="877" name="Obrázek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c>
          <w:tcPr>
            <w:tcW w:w="2659" w:type="dxa"/>
          </w:tcPr>
          <w:p w14:paraId="00256AF5" w14:textId="77777777" w:rsidR="00962FC3" w:rsidRPr="007F6264" w:rsidRDefault="00962FC3" w:rsidP="00C16EFA">
            <w:pPr>
              <w:pStyle w:val="Zpat"/>
              <w:jc w:val="center"/>
              <w:rPr>
                <w:rFonts w:ascii="Arial" w:hAnsi="Arial" w:cs="Arial"/>
              </w:rPr>
            </w:pPr>
            <w:r w:rsidRPr="007F6264">
              <w:rPr>
                <w:rFonts w:ascii="Arial" w:hAnsi="Arial" w:cs="Arial"/>
                <w:noProof/>
                <w:lang w:eastAsia="cs-CZ"/>
              </w:rPr>
              <w:drawing>
                <wp:inline distT="0" distB="0" distL="0" distR="0" wp14:anchorId="1B642DF5" wp14:editId="6D43DB28">
                  <wp:extent cx="1136488" cy="1136488"/>
                  <wp:effectExtent l="0" t="0" r="6985" b="6985"/>
                  <wp:docPr id="878" name="Obrázek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arek_Hatlapatka.pn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136488" cy="1136488"/>
                          </a:xfrm>
                          <a:prstGeom prst="rect">
                            <a:avLst/>
                          </a:prstGeom>
                        </pic:spPr>
                      </pic:pic>
                    </a:graphicData>
                  </a:graphic>
                </wp:inline>
              </w:drawing>
            </w:r>
          </w:p>
        </w:tc>
      </w:tr>
      <w:tr w:rsidR="00962FC3" w:rsidRPr="007F6264" w14:paraId="752EAB2D" w14:textId="77777777" w:rsidTr="003A734C">
        <w:tc>
          <w:tcPr>
            <w:tcW w:w="2122" w:type="dxa"/>
            <w:vMerge/>
          </w:tcPr>
          <w:p w14:paraId="22B09089" w14:textId="77777777" w:rsidR="00962FC3" w:rsidRPr="007F6264" w:rsidRDefault="00962FC3" w:rsidP="00C16EFA">
            <w:pPr>
              <w:pStyle w:val="Zpat"/>
              <w:jc w:val="both"/>
              <w:rPr>
                <w:rFonts w:ascii="Arial" w:hAnsi="Arial" w:cs="Arial"/>
              </w:rPr>
            </w:pPr>
          </w:p>
        </w:tc>
        <w:tc>
          <w:tcPr>
            <w:tcW w:w="2693" w:type="dxa"/>
          </w:tcPr>
          <w:p w14:paraId="6AA58FE3" w14:textId="77777777" w:rsidR="00962FC3" w:rsidRPr="007F6264" w:rsidRDefault="00962FC3" w:rsidP="00C16EFA">
            <w:pPr>
              <w:pStyle w:val="Zpat"/>
              <w:jc w:val="center"/>
              <w:rPr>
                <w:rFonts w:ascii="Arial" w:hAnsi="Arial" w:cs="Arial"/>
                <w:b/>
              </w:rPr>
            </w:pPr>
            <w:r w:rsidRPr="007F6264">
              <w:rPr>
                <w:rFonts w:ascii="Arial" w:hAnsi="Arial" w:cs="Arial"/>
                <w:b/>
              </w:rPr>
              <w:t>Vít Hradil</w:t>
            </w:r>
          </w:p>
          <w:p w14:paraId="6C8DF98A" w14:textId="77777777" w:rsidR="00962FC3" w:rsidRPr="007F6264" w:rsidRDefault="00962FC3" w:rsidP="00C16EFA">
            <w:pPr>
              <w:pStyle w:val="Zpat"/>
              <w:jc w:val="center"/>
              <w:rPr>
                <w:rFonts w:ascii="Arial" w:hAnsi="Arial" w:cs="Arial"/>
                <w:sz w:val="14"/>
              </w:rPr>
            </w:pPr>
            <w:r w:rsidRPr="007F6264">
              <w:rPr>
                <w:rFonts w:ascii="Arial" w:hAnsi="Arial" w:cs="Arial"/>
                <w:sz w:val="14"/>
              </w:rPr>
              <w:t>Hlavní ekonom CYRRUS</w:t>
            </w:r>
          </w:p>
        </w:tc>
        <w:tc>
          <w:tcPr>
            <w:tcW w:w="2982" w:type="dxa"/>
          </w:tcPr>
          <w:p w14:paraId="1DAB0990" w14:textId="42E2BAC1" w:rsidR="00962FC3" w:rsidRPr="007F6264" w:rsidRDefault="00962FC3" w:rsidP="00C16EFA">
            <w:pPr>
              <w:pStyle w:val="Zpat"/>
              <w:jc w:val="center"/>
              <w:rPr>
                <w:rFonts w:ascii="Arial" w:hAnsi="Arial" w:cs="Arial"/>
                <w:b/>
              </w:rPr>
            </w:pPr>
            <w:r w:rsidRPr="007F6264">
              <w:rPr>
                <w:rFonts w:ascii="Arial" w:hAnsi="Arial" w:cs="Arial"/>
                <w:b/>
              </w:rPr>
              <w:t>Anna Píchová</w:t>
            </w:r>
          </w:p>
          <w:p w14:paraId="459A987A" w14:textId="77777777" w:rsidR="00962FC3" w:rsidRPr="007F6264" w:rsidRDefault="00962FC3" w:rsidP="00C16EFA">
            <w:pPr>
              <w:pStyle w:val="Zpat"/>
              <w:jc w:val="center"/>
              <w:rPr>
                <w:rFonts w:ascii="Arial" w:hAnsi="Arial" w:cs="Arial"/>
              </w:rPr>
            </w:pPr>
            <w:r w:rsidRPr="007F6264">
              <w:rPr>
                <w:rFonts w:ascii="Arial" w:hAnsi="Arial" w:cs="Arial"/>
                <w:sz w:val="14"/>
              </w:rPr>
              <w:t>Vedoucí analytického oddělení CYRRUS</w:t>
            </w:r>
          </w:p>
        </w:tc>
        <w:tc>
          <w:tcPr>
            <w:tcW w:w="2659" w:type="dxa"/>
          </w:tcPr>
          <w:p w14:paraId="56D85EE1" w14:textId="4347711D" w:rsidR="00962FC3" w:rsidRPr="007F6264" w:rsidRDefault="00962FC3" w:rsidP="00C16EFA">
            <w:pPr>
              <w:pStyle w:val="Zpat"/>
              <w:jc w:val="center"/>
              <w:rPr>
                <w:rFonts w:ascii="Arial" w:hAnsi="Arial" w:cs="Arial"/>
                <w:b/>
              </w:rPr>
            </w:pPr>
            <w:r w:rsidRPr="007F6264">
              <w:rPr>
                <w:rFonts w:ascii="Arial" w:hAnsi="Arial" w:cs="Arial"/>
                <w:b/>
              </w:rPr>
              <w:t>Tomáš Pfeiler</w:t>
            </w:r>
          </w:p>
          <w:p w14:paraId="45BCC06B" w14:textId="77777777" w:rsidR="00962FC3" w:rsidRPr="007F6264" w:rsidRDefault="00962FC3" w:rsidP="00C16EFA">
            <w:pPr>
              <w:pStyle w:val="Zpat"/>
              <w:jc w:val="center"/>
              <w:rPr>
                <w:rFonts w:ascii="Arial" w:hAnsi="Arial" w:cs="Arial"/>
              </w:rPr>
            </w:pPr>
            <w:r w:rsidRPr="007F6264">
              <w:rPr>
                <w:rFonts w:ascii="Arial" w:hAnsi="Arial" w:cs="Arial"/>
                <w:sz w:val="14"/>
              </w:rPr>
              <w:t>Portfolio manažer CYRRUS</w:t>
            </w:r>
          </w:p>
        </w:tc>
      </w:tr>
      <w:tr w:rsidR="00962FC3" w:rsidRPr="007F6264" w14:paraId="5F2A1820" w14:textId="77777777" w:rsidTr="003A734C">
        <w:tc>
          <w:tcPr>
            <w:tcW w:w="2122" w:type="dxa"/>
            <w:vMerge/>
          </w:tcPr>
          <w:p w14:paraId="1A69C32E" w14:textId="77777777" w:rsidR="00962FC3" w:rsidRPr="007F6264" w:rsidRDefault="00962FC3" w:rsidP="00C16EFA">
            <w:pPr>
              <w:pStyle w:val="Zpat"/>
              <w:jc w:val="both"/>
              <w:rPr>
                <w:rFonts w:ascii="Arial" w:hAnsi="Arial" w:cs="Arial"/>
              </w:rPr>
            </w:pPr>
          </w:p>
        </w:tc>
        <w:tc>
          <w:tcPr>
            <w:tcW w:w="2693" w:type="dxa"/>
          </w:tcPr>
          <w:p w14:paraId="6671697D" w14:textId="77777777" w:rsidR="00962FC3" w:rsidRPr="007F6264" w:rsidRDefault="00962FC3" w:rsidP="00C16EFA">
            <w:pPr>
              <w:jc w:val="center"/>
              <w:rPr>
                <w:rFonts w:ascii="Arial" w:hAnsi="Arial" w:cs="Arial"/>
                <w:sz w:val="16"/>
              </w:rPr>
            </w:pPr>
            <w:r w:rsidRPr="007F6264">
              <w:rPr>
                <w:rFonts w:ascii="Arial" w:hAnsi="Arial" w:cs="Arial"/>
                <w:sz w:val="16"/>
              </w:rPr>
              <w:t>277 021 816</w:t>
            </w:r>
            <w:r w:rsidRPr="007F6264">
              <w:rPr>
                <w:rFonts w:ascii="Arial" w:hAnsi="Arial" w:cs="Arial"/>
                <w:sz w:val="16"/>
              </w:rPr>
              <w:br/>
              <w:t>vit.hradil@cyrrus.cz</w:t>
            </w:r>
          </w:p>
        </w:tc>
        <w:tc>
          <w:tcPr>
            <w:tcW w:w="2982" w:type="dxa"/>
          </w:tcPr>
          <w:p w14:paraId="27E8DFF1" w14:textId="77777777" w:rsidR="00962FC3" w:rsidRPr="007F6264" w:rsidRDefault="00962FC3" w:rsidP="00C16EFA">
            <w:pPr>
              <w:jc w:val="center"/>
              <w:rPr>
                <w:rFonts w:ascii="Arial" w:hAnsi="Arial" w:cs="Arial"/>
              </w:rPr>
            </w:pPr>
            <w:r w:rsidRPr="007F6264">
              <w:rPr>
                <w:rFonts w:ascii="Arial" w:hAnsi="Arial" w:cs="Arial"/>
                <w:sz w:val="16"/>
              </w:rPr>
              <w:t>538 705 765</w:t>
            </w:r>
            <w:r w:rsidRPr="007F6264">
              <w:rPr>
                <w:rFonts w:ascii="Arial" w:hAnsi="Arial" w:cs="Arial"/>
                <w:sz w:val="16"/>
              </w:rPr>
              <w:br/>
              <w:t>anna.pichova@cyrrus.cz</w:t>
            </w:r>
          </w:p>
        </w:tc>
        <w:tc>
          <w:tcPr>
            <w:tcW w:w="2659" w:type="dxa"/>
          </w:tcPr>
          <w:p w14:paraId="2BE3D9DF" w14:textId="77777777" w:rsidR="00962FC3" w:rsidRPr="007F6264" w:rsidRDefault="00962FC3" w:rsidP="00C16EFA">
            <w:pPr>
              <w:pStyle w:val="Zpat"/>
              <w:jc w:val="center"/>
              <w:rPr>
                <w:rFonts w:ascii="Arial" w:hAnsi="Arial" w:cs="Arial"/>
              </w:rPr>
            </w:pPr>
            <w:r w:rsidRPr="007F6264">
              <w:rPr>
                <w:rFonts w:ascii="Arial" w:hAnsi="Arial" w:cs="Arial"/>
                <w:sz w:val="16"/>
              </w:rPr>
              <w:t>277 021 819</w:t>
            </w:r>
            <w:r w:rsidRPr="007F6264">
              <w:rPr>
                <w:rFonts w:ascii="Arial" w:hAnsi="Arial" w:cs="Arial"/>
                <w:sz w:val="16"/>
              </w:rPr>
              <w:br/>
              <w:t>tomas.pfeiler@cyrrus.cz</w:t>
            </w:r>
          </w:p>
        </w:tc>
      </w:tr>
      <w:tr w:rsidR="00962FC3" w:rsidRPr="007F6264" w14:paraId="29DACCC3" w14:textId="77777777" w:rsidTr="003A734C">
        <w:trPr>
          <w:trHeight w:val="480"/>
        </w:trPr>
        <w:tc>
          <w:tcPr>
            <w:tcW w:w="2122" w:type="dxa"/>
            <w:vMerge/>
          </w:tcPr>
          <w:p w14:paraId="6CEC74D7" w14:textId="77777777" w:rsidR="00962FC3" w:rsidRPr="007F6264" w:rsidRDefault="00962FC3" w:rsidP="00C16EFA">
            <w:pPr>
              <w:pStyle w:val="Zpat"/>
              <w:jc w:val="both"/>
              <w:rPr>
                <w:rFonts w:ascii="Arial" w:hAnsi="Arial" w:cs="Arial"/>
              </w:rPr>
            </w:pPr>
          </w:p>
        </w:tc>
        <w:tc>
          <w:tcPr>
            <w:tcW w:w="2693" w:type="dxa"/>
            <w:vAlign w:val="center"/>
          </w:tcPr>
          <w:p w14:paraId="464B478D" w14:textId="77777777" w:rsidR="00962FC3" w:rsidRPr="007F6264" w:rsidRDefault="00000000" w:rsidP="00C16EFA">
            <w:pPr>
              <w:jc w:val="center"/>
              <w:rPr>
                <w:rFonts w:ascii="Arial" w:hAnsi="Arial" w:cs="Arial"/>
                <w:sz w:val="16"/>
              </w:rPr>
            </w:pPr>
            <w:hyperlink r:id="rId14" w:history="1">
              <w:r w:rsidR="00962FC3" w:rsidRPr="007F6264">
                <w:rPr>
                  <w:rStyle w:val="Hypertextovodkaz"/>
                  <w:rFonts w:ascii="Arial" w:hAnsi="Arial" w:cs="Arial"/>
                  <w:sz w:val="16"/>
                </w:rPr>
                <w:t>Fotografie</w:t>
              </w:r>
            </w:hyperlink>
          </w:p>
        </w:tc>
        <w:tc>
          <w:tcPr>
            <w:tcW w:w="2982" w:type="dxa"/>
            <w:vAlign w:val="center"/>
          </w:tcPr>
          <w:p w14:paraId="5104D858" w14:textId="77777777" w:rsidR="00962FC3" w:rsidRPr="007F6264" w:rsidRDefault="00000000" w:rsidP="00C16EFA">
            <w:pPr>
              <w:jc w:val="center"/>
              <w:rPr>
                <w:rFonts w:ascii="Arial" w:hAnsi="Arial" w:cs="Arial"/>
                <w:sz w:val="16"/>
              </w:rPr>
            </w:pPr>
            <w:hyperlink r:id="rId15" w:history="1">
              <w:r w:rsidR="00962FC3" w:rsidRPr="007F6264">
                <w:rPr>
                  <w:rStyle w:val="Hypertextovodkaz"/>
                  <w:rFonts w:ascii="Arial" w:hAnsi="Arial" w:cs="Arial"/>
                  <w:sz w:val="16"/>
                </w:rPr>
                <w:t>Fotografie</w:t>
              </w:r>
            </w:hyperlink>
          </w:p>
        </w:tc>
        <w:tc>
          <w:tcPr>
            <w:tcW w:w="2659" w:type="dxa"/>
            <w:vAlign w:val="center"/>
          </w:tcPr>
          <w:p w14:paraId="41EC85EE" w14:textId="77777777" w:rsidR="00962FC3" w:rsidRPr="007F6264" w:rsidRDefault="00000000" w:rsidP="00C16EFA">
            <w:pPr>
              <w:pStyle w:val="Zpat"/>
              <w:jc w:val="center"/>
              <w:rPr>
                <w:rFonts w:ascii="Arial" w:hAnsi="Arial" w:cs="Arial"/>
                <w:sz w:val="16"/>
              </w:rPr>
            </w:pPr>
            <w:hyperlink r:id="rId16" w:history="1">
              <w:r w:rsidR="00962FC3" w:rsidRPr="007F6264">
                <w:rPr>
                  <w:rStyle w:val="Hypertextovodkaz"/>
                  <w:rFonts w:ascii="Arial" w:hAnsi="Arial" w:cs="Arial"/>
                  <w:sz w:val="16"/>
                </w:rPr>
                <w:t>Fotografie</w:t>
              </w:r>
            </w:hyperlink>
          </w:p>
        </w:tc>
      </w:tr>
    </w:tbl>
    <w:p w14:paraId="5D32B31B" w14:textId="77777777" w:rsidR="004658F3" w:rsidRPr="007F6264" w:rsidRDefault="004658F3" w:rsidP="00C16EFA">
      <w:pPr>
        <w:spacing w:after="0" w:line="240" w:lineRule="auto"/>
        <w:rPr>
          <w:rFonts w:ascii="Arial" w:hAnsi="Arial" w:cs="Arial"/>
          <w:sz w:val="22"/>
        </w:rPr>
      </w:pPr>
    </w:p>
    <w:sectPr w:rsidR="004658F3" w:rsidRPr="007F6264" w:rsidSect="00615E14">
      <w:headerReference w:type="default" r:id="rId17"/>
      <w:footerReference w:type="default" r:id="rId18"/>
      <w:pgSz w:w="11906" w:h="16838"/>
      <w:pgMar w:top="720" w:right="720" w:bottom="284"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D156" w14:textId="77777777" w:rsidR="009471F8" w:rsidRDefault="009471F8" w:rsidP="00605702">
      <w:pPr>
        <w:spacing w:after="0" w:line="240" w:lineRule="auto"/>
      </w:pPr>
      <w:r>
        <w:separator/>
      </w:r>
    </w:p>
  </w:endnote>
  <w:endnote w:type="continuationSeparator" w:id="0">
    <w:p w14:paraId="50C33E25" w14:textId="77777777" w:rsidR="009471F8" w:rsidRDefault="009471F8" w:rsidP="0060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charset w:val="00"/>
    <w:family w:val="swiss"/>
    <w:pitch w:val="variable"/>
    <w:sig w:usb0="600002F7"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Nexa Text">
    <w:altName w:val="Calibri"/>
    <w:panose1 w:val="00000000000000000000"/>
    <w:charset w:val="00"/>
    <w:family w:val="modern"/>
    <w:notTrueType/>
    <w:pitch w:val="variable"/>
    <w:sig w:usb0="00000001" w:usb1="00000073" w:usb2="00000000" w:usb3="00000000" w:csb0="00000097" w:csb1="00000000"/>
  </w:font>
  <w:font w:name="Verdana">
    <w:panose1 w:val="020B0604030504040204"/>
    <w:charset w:val="EE"/>
    <w:family w:val="swiss"/>
    <w:pitch w:val="variable"/>
    <w:sig w:usb0="A00006FF" w:usb1="4000205B" w:usb2="00000010" w:usb3="00000000" w:csb0="0000019F" w:csb1="00000000"/>
  </w:font>
  <w:font w:name="Nexa Extra Bold">
    <w:altName w:val="Calibri"/>
    <w:panose1 w:val="00000000000000000000"/>
    <w:charset w:val="00"/>
    <w:family w:val="modern"/>
    <w:notTrueType/>
    <w:pitch w:val="variable"/>
    <w:sig w:usb0="00000001" w:usb1="00000073" w:usb2="00000000" w:usb3="00000000" w:csb0="00000097"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08350"/>
      <w:docPartObj>
        <w:docPartGallery w:val="Page Numbers (Bottom of Page)"/>
        <w:docPartUnique/>
      </w:docPartObj>
    </w:sdtPr>
    <w:sdtContent>
      <w:p w14:paraId="6AE6FB7C" w14:textId="1EA9193D" w:rsidR="00DF71D4" w:rsidRDefault="00DF71D4">
        <w:pPr>
          <w:pStyle w:val="Zpat"/>
          <w:jc w:val="center"/>
        </w:pPr>
        <w:r>
          <w:fldChar w:fldCharType="begin"/>
        </w:r>
        <w:r>
          <w:instrText>PAGE   \* MERGEFORMAT</w:instrText>
        </w:r>
        <w:r>
          <w:fldChar w:fldCharType="separate"/>
        </w:r>
        <w:r w:rsidR="00730799">
          <w:rPr>
            <w:noProof/>
          </w:rPr>
          <w:t>1</w:t>
        </w:r>
        <w:r>
          <w:fldChar w:fldCharType="end"/>
        </w:r>
      </w:p>
    </w:sdtContent>
  </w:sdt>
  <w:p w14:paraId="3A4AA1B5" w14:textId="77777777" w:rsidR="00B273EE" w:rsidRDefault="00B273EE" w:rsidP="00A016E3">
    <w:pPr>
      <w:pStyle w:val="Zpat"/>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9C20" w14:textId="77777777" w:rsidR="009471F8" w:rsidRDefault="009471F8" w:rsidP="00605702">
      <w:pPr>
        <w:spacing w:after="0" w:line="240" w:lineRule="auto"/>
      </w:pPr>
      <w:r>
        <w:separator/>
      </w:r>
    </w:p>
  </w:footnote>
  <w:footnote w:type="continuationSeparator" w:id="0">
    <w:p w14:paraId="732F617F" w14:textId="77777777" w:rsidR="009471F8" w:rsidRDefault="009471F8" w:rsidP="00605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6357" w14:textId="77777777" w:rsidR="00605702" w:rsidRPr="00A016E3" w:rsidRDefault="00C82E0C" w:rsidP="00723F0C">
    <w:pPr>
      <w:pStyle w:val="Nadpis1"/>
      <w:rPr>
        <w:rFonts w:eastAsiaTheme="minorHAnsi" w:cs="Arial"/>
        <w:color w:val="FFC832" w:themeColor="background2"/>
        <w:sz w:val="36"/>
        <w:szCs w:val="36"/>
      </w:rPr>
    </w:pPr>
    <w:r w:rsidRPr="00A016E3">
      <w:rPr>
        <w:noProof/>
        <w:color w:val="FFC832" w:themeColor="background2"/>
        <w:sz w:val="24"/>
      </w:rPr>
      <w:drawing>
        <wp:anchor distT="0" distB="0" distL="114300" distR="114300" simplePos="0" relativeHeight="251657216" behindDoc="1" locked="0" layoutInCell="1" allowOverlap="1" wp14:anchorId="0FD57729" wp14:editId="0B491240">
          <wp:simplePos x="0" y="0"/>
          <wp:positionH relativeFrom="column">
            <wp:posOffset>5199953</wp:posOffset>
          </wp:positionH>
          <wp:positionV relativeFrom="paragraph">
            <wp:posOffset>-101603</wp:posOffset>
          </wp:positionV>
          <wp:extent cx="1553919" cy="300424"/>
          <wp:effectExtent l="0" t="0" r="8255" b="444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YRRU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3919" cy="300424"/>
                  </a:xfrm>
                  <a:prstGeom prst="rect">
                    <a:avLst/>
                  </a:prstGeom>
                  <a:noFill/>
                </pic:spPr>
              </pic:pic>
            </a:graphicData>
          </a:graphic>
          <wp14:sizeRelH relativeFrom="page">
            <wp14:pctWidth>0</wp14:pctWidth>
          </wp14:sizeRelH>
          <wp14:sizeRelV relativeFrom="page">
            <wp14:pctHeight>0</wp14:pctHeight>
          </wp14:sizeRelV>
        </wp:anchor>
      </w:drawing>
    </w:r>
    <w:r w:rsidR="00B273EE" w:rsidRPr="00A016E3">
      <w:rPr>
        <w:rFonts w:eastAsiaTheme="minorHAnsi" w:cs="Arial"/>
        <w:color w:val="FFC832" w:themeColor="background2"/>
        <w:sz w:val="18"/>
        <w:szCs w:val="36"/>
      </w:rPr>
      <w:t>Tisková zpráva</w:t>
    </w:r>
  </w:p>
  <w:p w14:paraId="13A1ECE1" w14:textId="77777777" w:rsidR="00605702" w:rsidRDefault="006057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92D"/>
    <w:multiLevelType w:val="hybridMultilevel"/>
    <w:tmpl w:val="306040F6"/>
    <w:lvl w:ilvl="0" w:tplc="9D4CE74C">
      <w:start w:val="1"/>
      <w:numFmt w:val="bullet"/>
      <w:lvlText w:val="-"/>
      <w:lvlJc w:val="left"/>
      <w:pPr>
        <w:ind w:left="770" w:hanging="360"/>
      </w:pPr>
      <w:rPr>
        <w:rFonts w:ascii="Source Sans Pro" w:hAnsi="Source Sans Pro" w:hint="default"/>
        <w:b/>
        <w:i w:val="0"/>
        <w:color w:val="F47929" w:themeColor="text2"/>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4C72765D"/>
    <w:multiLevelType w:val="hybridMultilevel"/>
    <w:tmpl w:val="9726F3A4"/>
    <w:lvl w:ilvl="0" w:tplc="4E74218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B2F2626"/>
    <w:multiLevelType w:val="hybridMultilevel"/>
    <w:tmpl w:val="59D25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F661D8"/>
    <w:multiLevelType w:val="hybridMultilevel"/>
    <w:tmpl w:val="CAA6C056"/>
    <w:lvl w:ilvl="0" w:tplc="9D4CE74C">
      <w:start w:val="1"/>
      <w:numFmt w:val="bullet"/>
      <w:lvlText w:val="-"/>
      <w:lvlJc w:val="left"/>
      <w:pPr>
        <w:ind w:left="720" w:hanging="360"/>
      </w:pPr>
      <w:rPr>
        <w:rFonts w:ascii="Source Sans Pro" w:hAnsi="Source Sans Pro" w:hint="default"/>
        <w:b/>
        <w:i w:val="0"/>
        <w:color w:val="F47929" w:themeColor="text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774D4D"/>
    <w:multiLevelType w:val="hybridMultilevel"/>
    <w:tmpl w:val="70FE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31026228">
    <w:abstractNumId w:val="1"/>
  </w:num>
  <w:num w:numId="2" w16cid:durableId="754789822">
    <w:abstractNumId w:val="4"/>
  </w:num>
  <w:num w:numId="3" w16cid:durableId="322046963">
    <w:abstractNumId w:val="3"/>
  </w:num>
  <w:num w:numId="4" w16cid:durableId="457992157">
    <w:abstractNumId w:val="0"/>
  </w:num>
  <w:num w:numId="5" w16cid:durableId="808012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921"/>
    <w:rsid w:val="00017364"/>
    <w:rsid w:val="00027E93"/>
    <w:rsid w:val="00036CDC"/>
    <w:rsid w:val="00064842"/>
    <w:rsid w:val="00070A8C"/>
    <w:rsid w:val="000820EA"/>
    <w:rsid w:val="000D7A59"/>
    <w:rsid w:val="00186B8D"/>
    <w:rsid w:val="00193B47"/>
    <w:rsid w:val="001C718D"/>
    <w:rsid w:val="001D3007"/>
    <w:rsid w:val="001D55ED"/>
    <w:rsid w:val="001F4169"/>
    <w:rsid w:val="001F6D66"/>
    <w:rsid w:val="00204B95"/>
    <w:rsid w:val="002C49B3"/>
    <w:rsid w:val="002D1822"/>
    <w:rsid w:val="00301D0F"/>
    <w:rsid w:val="00317AF0"/>
    <w:rsid w:val="00317CC4"/>
    <w:rsid w:val="00320A11"/>
    <w:rsid w:val="00324AA0"/>
    <w:rsid w:val="00324D55"/>
    <w:rsid w:val="00332635"/>
    <w:rsid w:val="00336DF1"/>
    <w:rsid w:val="003673E8"/>
    <w:rsid w:val="00376BBA"/>
    <w:rsid w:val="003838B3"/>
    <w:rsid w:val="003961A5"/>
    <w:rsid w:val="003B0F0D"/>
    <w:rsid w:val="004658F3"/>
    <w:rsid w:val="0047072B"/>
    <w:rsid w:val="00470B3A"/>
    <w:rsid w:val="00475FDF"/>
    <w:rsid w:val="004928ED"/>
    <w:rsid w:val="00495056"/>
    <w:rsid w:val="004C4254"/>
    <w:rsid w:val="004F0295"/>
    <w:rsid w:val="004F5DBF"/>
    <w:rsid w:val="00552B9C"/>
    <w:rsid w:val="00571E21"/>
    <w:rsid w:val="00575991"/>
    <w:rsid w:val="005F48AD"/>
    <w:rsid w:val="00605702"/>
    <w:rsid w:val="00615E14"/>
    <w:rsid w:val="006420B6"/>
    <w:rsid w:val="00687909"/>
    <w:rsid w:val="006C56E1"/>
    <w:rsid w:val="006D4A78"/>
    <w:rsid w:val="006F71E9"/>
    <w:rsid w:val="00711950"/>
    <w:rsid w:val="00723F0C"/>
    <w:rsid w:val="00730799"/>
    <w:rsid w:val="007769EB"/>
    <w:rsid w:val="00776D65"/>
    <w:rsid w:val="007A6A6C"/>
    <w:rsid w:val="007E58EA"/>
    <w:rsid w:val="007F4FFC"/>
    <w:rsid w:val="007F6264"/>
    <w:rsid w:val="008125F8"/>
    <w:rsid w:val="008274D4"/>
    <w:rsid w:val="008969A5"/>
    <w:rsid w:val="008A5174"/>
    <w:rsid w:val="008B02AC"/>
    <w:rsid w:val="008B6C25"/>
    <w:rsid w:val="00924009"/>
    <w:rsid w:val="009257A9"/>
    <w:rsid w:val="009471F8"/>
    <w:rsid w:val="00962FC3"/>
    <w:rsid w:val="00991FD8"/>
    <w:rsid w:val="009A1CD3"/>
    <w:rsid w:val="009A29D7"/>
    <w:rsid w:val="009C3F94"/>
    <w:rsid w:val="009D0819"/>
    <w:rsid w:val="009D4FCD"/>
    <w:rsid w:val="009F1029"/>
    <w:rsid w:val="00A016E3"/>
    <w:rsid w:val="00A26181"/>
    <w:rsid w:val="00A425DD"/>
    <w:rsid w:val="00A574B8"/>
    <w:rsid w:val="00A82C63"/>
    <w:rsid w:val="00AB1AB4"/>
    <w:rsid w:val="00AB7861"/>
    <w:rsid w:val="00B07918"/>
    <w:rsid w:val="00B14102"/>
    <w:rsid w:val="00B273EE"/>
    <w:rsid w:val="00B30D9F"/>
    <w:rsid w:val="00B61489"/>
    <w:rsid w:val="00B70D82"/>
    <w:rsid w:val="00C16EFA"/>
    <w:rsid w:val="00C20CD3"/>
    <w:rsid w:val="00C340FD"/>
    <w:rsid w:val="00C506E3"/>
    <w:rsid w:val="00C53BDC"/>
    <w:rsid w:val="00C70420"/>
    <w:rsid w:val="00C756E6"/>
    <w:rsid w:val="00C81A45"/>
    <w:rsid w:val="00C82E0C"/>
    <w:rsid w:val="00C8580B"/>
    <w:rsid w:val="00C90383"/>
    <w:rsid w:val="00CC1205"/>
    <w:rsid w:val="00CE6EA9"/>
    <w:rsid w:val="00D22348"/>
    <w:rsid w:val="00D63F65"/>
    <w:rsid w:val="00D81921"/>
    <w:rsid w:val="00D8229C"/>
    <w:rsid w:val="00D85F08"/>
    <w:rsid w:val="00D86B39"/>
    <w:rsid w:val="00D93C41"/>
    <w:rsid w:val="00DC22DE"/>
    <w:rsid w:val="00DE0EDC"/>
    <w:rsid w:val="00DF71D4"/>
    <w:rsid w:val="00E26494"/>
    <w:rsid w:val="00E4423E"/>
    <w:rsid w:val="00E55539"/>
    <w:rsid w:val="00E6105B"/>
    <w:rsid w:val="00E72F8B"/>
    <w:rsid w:val="00EA441F"/>
    <w:rsid w:val="00EA6CD3"/>
    <w:rsid w:val="00EA796B"/>
    <w:rsid w:val="00EC6888"/>
    <w:rsid w:val="00EC7711"/>
    <w:rsid w:val="00EF74A0"/>
    <w:rsid w:val="00F31081"/>
    <w:rsid w:val="00F4343C"/>
    <w:rsid w:val="00F6759D"/>
    <w:rsid w:val="00FB75B3"/>
    <w:rsid w:val="00FF56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B11A"/>
  <w15:chartTrackingRefBased/>
  <w15:docId w15:val="{A3312B07-0F1F-4A3C-8DFD-7EE6407E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F71D4"/>
    <w:rPr>
      <w:rFonts w:ascii="Verdana" w:hAnsi="Verdana"/>
      <w:sz w:val="18"/>
    </w:rPr>
  </w:style>
  <w:style w:type="paragraph" w:styleId="Nadpis1">
    <w:name w:val="heading 1"/>
    <w:basedOn w:val="Normln"/>
    <w:link w:val="Nadpis1Char"/>
    <w:uiPriority w:val="9"/>
    <w:qFormat/>
    <w:rsid w:val="00DF71D4"/>
    <w:pPr>
      <w:spacing w:before="100" w:beforeAutospacing="1" w:after="100" w:afterAutospacing="1" w:line="240" w:lineRule="auto"/>
      <w:outlineLvl w:val="0"/>
    </w:pPr>
    <w:rPr>
      <w:rFonts w:eastAsia="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DF71D4"/>
    <w:pPr>
      <w:keepNext/>
      <w:keepLines/>
      <w:spacing w:before="40" w:after="0"/>
      <w:outlineLvl w:val="1"/>
    </w:pPr>
    <w:rPr>
      <w:rFonts w:eastAsiaTheme="majorEastAsia" w:cstheme="majorBidi"/>
      <w:b/>
      <w:sz w:val="32"/>
      <w:szCs w:val="26"/>
    </w:rPr>
  </w:style>
  <w:style w:type="paragraph" w:styleId="Nadpis3">
    <w:name w:val="heading 3"/>
    <w:basedOn w:val="Normln"/>
    <w:next w:val="Normln"/>
    <w:link w:val="Nadpis3Char"/>
    <w:uiPriority w:val="9"/>
    <w:unhideWhenUsed/>
    <w:qFormat/>
    <w:rsid w:val="00DF71D4"/>
    <w:pPr>
      <w:keepNext/>
      <w:keepLines/>
      <w:spacing w:before="40" w:after="0"/>
      <w:outlineLvl w:val="2"/>
    </w:pPr>
    <w:rPr>
      <w:rFonts w:eastAsiaTheme="majorEastAsia" w:cstheme="majorBidi"/>
      <w:b/>
      <w:sz w:val="24"/>
      <w:szCs w:val="24"/>
    </w:rPr>
  </w:style>
  <w:style w:type="paragraph" w:styleId="Nadpis4">
    <w:name w:val="heading 4"/>
    <w:basedOn w:val="Normln"/>
    <w:next w:val="Normln"/>
    <w:link w:val="Nadpis4Char"/>
    <w:uiPriority w:val="9"/>
    <w:semiHidden/>
    <w:unhideWhenUsed/>
    <w:rsid w:val="00776D65"/>
    <w:pPr>
      <w:keepNext/>
      <w:keepLines/>
      <w:spacing w:before="40" w:after="0"/>
      <w:outlineLvl w:val="3"/>
    </w:pPr>
    <w:rPr>
      <w:rFonts w:asciiTheme="majorHAnsi" w:eastAsiaTheme="majorEastAsia" w:hAnsiTheme="majorHAnsi" w:cstheme="majorBidi"/>
      <w:i/>
      <w:iCs/>
      <w:color w:val="CA550A"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F71D4"/>
    <w:rPr>
      <w:rFonts w:ascii="Verdana" w:eastAsia="Times New Roman" w:hAnsi="Verdana" w:cs="Times New Roman"/>
      <w:b/>
      <w:bCs/>
      <w:kern w:val="36"/>
      <w:sz w:val="48"/>
      <w:szCs w:val="48"/>
      <w:lang w:eastAsia="cs-CZ"/>
    </w:rPr>
  </w:style>
  <w:style w:type="character" w:styleId="Hypertextovodkaz">
    <w:name w:val="Hyperlink"/>
    <w:basedOn w:val="Standardnpsmoodstavce"/>
    <w:uiPriority w:val="99"/>
    <w:unhideWhenUsed/>
    <w:rsid w:val="00776D65"/>
    <w:rPr>
      <w:color w:val="003C73" w:themeColor="hyperlink"/>
      <w:u w:val="single"/>
    </w:rPr>
  </w:style>
  <w:style w:type="character" w:styleId="Siln">
    <w:name w:val="Strong"/>
    <w:basedOn w:val="Standardnpsmoodstavce"/>
    <w:uiPriority w:val="22"/>
    <w:qFormat/>
    <w:rsid w:val="00DF71D4"/>
    <w:rPr>
      <w:rFonts w:ascii="Verdana" w:hAnsi="Verdana"/>
      <w:b/>
      <w:bCs/>
    </w:rPr>
  </w:style>
  <w:style w:type="character" w:customStyle="1" w:styleId="Nadpis2Char">
    <w:name w:val="Nadpis 2 Char"/>
    <w:basedOn w:val="Standardnpsmoodstavce"/>
    <w:link w:val="Nadpis2"/>
    <w:uiPriority w:val="9"/>
    <w:rsid w:val="00DF71D4"/>
    <w:rPr>
      <w:rFonts w:ascii="Verdana" w:eastAsiaTheme="majorEastAsia" w:hAnsi="Verdana" w:cstheme="majorBidi"/>
      <w:b/>
      <w:sz w:val="32"/>
      <w:szCs w:val="26"/>
    </w:rPr>
  </w:style>
  <w:style w:type="character" w:customStyle="1" w:styleId="Nadpis4Char">
    <w:name w:val="Nadpis 4 Char"/>
    <w:basedOn w:val="Standardnpsmoodstavce"/>
    <w:link w:val="Nadpis4"/>
    <w:uiPriority w:val="9"/>
    <w:semiHidden/>
    <w:rsid w:val="00776D65"/>
    <w:rPr>
      <w:rFonts w:asciiTheme="majorHAnsi" w:eastAsiaTheme="majorEastAsia" w:hAnsiTheme="majorHAnsi" w:cstheme="majorBidi"/>
      <w:i/>
      <w:iCs/>
      <w:color w:val="CA550A" w:themeColor="accent1" w:themeShade="BF"/>
    </w:rPr>
  </w:style>
  <w:style w:type="paragraph" w:styleId="Odstavecseseznamem">
    <w:name w:val="List Paragraph"/>
    <w:basedOn w:val="Normln"/>
    <w:uiPriority w:val="34"/>
    <w:qFormat/>
    <w:rsid w:val="00776D65"/>
    <w:pPr>
      <w:ind w:left="720"/>
      <w:contextualSpacing/>
    </w:pPr>
  </w:style>
  <w:style w:type="paragraph" w:styleId="Zhlav">
    <w:name w:val="header"/>
    <w:basedOn w:val="Normln"/>
    <w:link w:val="ZhlavChar"/>
    <w:uiPriority w:val="99"/>
    <w:unhideWhenUsed/>
    <w:rsid w:val="006057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05702"/>
  </w:style>
  <w:style w:type="paragraph" w:styleId="Zpat">
    <w:name w:val="footer"/>
    <w:basedOn w:val="Normln"/>
    <w:link w:val="ZpatChar"/>
    <w:uiPriority w:val="99"/>
    <w:unhideWhenUsed/>
    <w:rsid w:val="006057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05702"/>
  </w:style>
  <w:style w:type="character" w:customStyle="1" w:styleId="Nadpis3Char">
    <w:name w:val="Nadpis 3 Char"/>
    <w:basedOn w:val="Standardnpsmoodstavce"/>
    <w:link w:val="Nadpis3"/>
    <w:uiPriority w:val="9"/>
    <w:rsid w:val="00DF71D4"/>
    <w:rPr>
      <w:rFonts w:ascii="Verdana" w:eastAsiaTheme="majorEastAsia" w:hAnsi="Verdana" w:cstheme="majorBidi"/>
      <w:b/>
      <w:sz w:val="24"/>
      <w:szCs w:val="24"/>
    </w:rPr>
  </w:style>
  <w:style w:type="paragraph" w:styleId="Bezmezer">
    <w:name w:val="No Spacing"/>
    <w:uiPriority w:val="1"/>
    <w:qFormat/>
    <w:rsid w:val="00DF71D4"/>
    <w:pPr>
      <w:spacing w:after="0" w:line="240" w:lineRule="auto"/>
    </w:pPr>
    <w:rPr>
      <w:rFonts w:ascii="Verdana" w:hAnsi="Verdana"/>
      <w:sz w:val="18"/>
    </w:rPr>
  </w:style>
  <w:style w:type="paragraph" w:styleId="Nzev">
    <w:name w:val="Title"/>
    <w:basedOn w:val="Normln"/>
    <w:next w:val="Normln"/>
    <w:link w:val="NzevChar"/>
    <w:uiPriority w:val="10"/>
    <w:qFormat/>
    <w:rsid w:val="00DF71D4"/>
    <w:pPr>
      <w:spacing w:after="0" w:line="240" w:lineRule="auto"/>
      <w:contextualSpacing/>
    </w:pPr>
    <w:rPr>
      <w:rFonts w:eastAsiaTheme="majorEastAsia" w:cstheme="majorBidi"/>
      <w:b/>
      <w:spacing w:val="-10"/>
      <w:kern w:val="28"/>
      <w:sz w:val="56"/>
      <w:szCs w:val="56"/>
    </w:rPr>
  </w:style>
  <w:style w:type="character" w:customStyle="1" w:styleId="NzevChar">
    <w:name w:val="Název Char"/>
    <w:basedOn w:val="Standardnpsmoodstavce"/>
    <w:link w:val="Nzev"/>
    <w:uiPriority w:val="10"/>
    <w:rsid w:val="00DF71D4"/>
    <w:rPr>
      <w:rFonts w:ascii="Verdana" w:eastAsiaTheme="majorEastAsia" w:hAnsi="Verdana" w:cstheme="majorBidi"/>
      <w:b/>
      <w:spacing w:val="-10"/>
      <w:kern w:val="28"/>
      <w:sz w:val="56"/>
      <w:szCs w:val="56"/>
    </w:rPr>
  </w:style>
  <w:style w:type="paragraph" w:styleId="Vrazncitt">
    <w:name w:val="Intense Quote"/>
    <w:basedOn w:val="Normln"/>
    <w:next w:val="Normln"/>
    <w:link w:val="VrazncittChar"/>
    <w:uiPriority w:val="30"/>
    <w:qFormat/>
    <w:rsid w:val="00317CC4"/>
    <w:pPr>
      <w:pBdr>
        <w:top w:val="single" w:sz="18" w:space="10" w:color="FFC832" w:themeColor="background2"/>
        <w:left w:val="single" w:sz="18" w:space="4" w:color="FFC832" w:themeColor="background2"/>
        <w:bottom w:val="single" w:sz="18" w:space="10" w:color="FFC832" w:themeColor="background2"/>
        <w:right w:val="single" w:sz="18" w:space="4" w:color="FFC832" w:themeColor="background2"/>
      </w:pBdr>
      <w:shd w:val="clear" w:color="auto" w:fill="FFC832" w:themeFill="background2"/>
      <w:spacing w:before="360" w:after="360"/>
      <w:ind w:left="864" w:right="864"/>
      <w:jc w:val="center"/>
    </w:pPr>
    <w:rPr>
      <w:i/>
      <w:iCs/>
      <w:color w:val="000000" w:themeColor="text1"/>
    </w:rPr>
  </w:style>
  <w:style w:type="character" w:customStyle="1" w:styleId="VrazncittChar">
    <w:name w:val="Výrazný citát Char"/>
    <w:basedOn w:val="Standardnpsmoodstavce"/>
    <w:link w:val="Vrazncitt"/>
    <w:uiPriority w:val="30"/>
    <w:rsid w:val="00317CC4"/>
    <w:rPr>
      <w:i/>
      <w:iCs/>
      <w:color w:val="000000" w:themeColor="text1"/>
      <w:shd w:val="clear" w:color="auto" w:fill="FFC832" w:themeFill="background2"/>
    </w:rPr>
  </w:style>
  <w:style w:type="character" w:styleId="Odkazintenzivn">
    <w:name w:val="Intense Reference"/>
    <w:basedOn w:val="Standardnpsmoodstavce"/>
    <w:uiPriority w:val="32"/>
    <w:qFormat/>
    <w:rsid w:val="00DF71D4"/>
    <w:rPr>
      <w:rFonts w:ascii="Verdana" w:hAnsi="Verdana"/>
      <w:b/>
      <w:bCs/>
      <w:smallCaps/>
      <w:color w:val="F47929" w:themeColor="accent1"/>
      <w:spacing w:val="5"/>
    </w:rPr>
  </w:style>
  <w:style w:type="character" w:styleId="Odkazjemn">
    <w:name w:val="Subtle Reference"/>
    <w:basedOn w:val="Standardnpsmoodstavce"/>
    <w:uiPriority w:val="31"/>
    <w:qFormat/>
    <w:rsid w:val="00DF71D4"/>
    <w:rPr>
      <w:rFonts w:ascii="Verdana" w:hAnsi="Verdana"/>
      <w:smallCaps/>
      <w:color w:val="5A5A5A" w:themeColor="text1" w:themeTint="A5"/>
    </w:rPr>
  </w:style>
  <w:style w:type="table" w:styleId="Mkatabulky">
    <w:name w:val="Table Grid"/>
    <w:basedOn w:val="Normlntabulka"/>
    <w:uiPriority w:val="39"/>
    <w:rsid w:val="00896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DF71D4"/>
    <w:rPr>
      <w:rFonts w:ascii="Verdana" w:hAnsi="Verdana"/>
      <w:i/>
      <w:iCs/>
      <w:color w:val="F47929" w:themeColor="accent1"/>
    </w:rPr>
  </w:style>
  <w:style w:type="paragraph" w:styleId="Podnadpis">
    <w:name w:val="Subtitle"/>
    <w:basedOn w:val="Normln"/>
    <w:next w:val="Normln"/>
    <w:link w:val="PodnadpisChar"/>
    <w:uiPriority w:val="11"/>
    <w:qFormat/>
    <w:rsid w:val="00615E14"/>
    <w:pPr>
      <w:numPr>
        <w:ilvl w:val="1"/>
      </w:numPr>
    </w:pPr>
    <w:rPr>
      <w:rFonts w:eastAsiaTheme="minorEastAsia"/>
      <w:color w:val="5A5A5A" w:themeColor="text1" w:themeTint="A5"/>
      <w:spacing w:val="15"/>
      <w:sz w:val="22"/>
    </w:rPr>
  </w:style>
  <w:style w:type="character" w:customStyle="1" w:styleId="PodnadpisChar">
    <w:name w:val="Podnadpis Char"/>
    <w:basedOn w:val="Standardnpsmoodstavce"/>
    <w:link w:val="Podnadpis"/>
    <w:uiPriority w:val="11"/>
    <w:rsid w:val="00615E14"/>
    <w:rPr>
      <w:rFonts w:eastAsiaTheme="minorEastAsia"/>
      <w:color w:val="5A5A5A" w:themeColor="text1" w:themeTint="A5"/>
      <w:spacing w:val="15"/>
    </w:rPr>
  </w:style>
  <w:style w:type="character" w:styleId="Zdraznnjemn">
    <w:name w:val="Subtle Emphasis"/>
    <w:basedOn w:val="Standardnpsmoodstavce"/>
    <w:uiPriority w:val="19"/>
    <w:qFormat/>
    <w:rsid w:val="00DF71D4"/>
    <w:rPr>
      <w:rFonts w:ascii="Verdana" w:hAnsi="Verdana"/>
      <w:i/>
      <w:iCs/>
      <w:color w:val="404040" w:themeColor="text1" w:themeTint="BF"/>
    </w:rPr>
  </w:style>
  <w:style w:type="character" w:styleId="Zdraznn">
    <w:name w:val="Emphasis"/>
    <w:basedOn w:val="Standardnpsmoodstavce"/>
    <w:uiPriority w:val="20"/>
    <w:qFormat/>
    <w:rsid w:val="00DF71D4"/>
    <w:rPr>
      <w:rFonts w:ascii="Verdana" w:hAnsi="Verdana"/>
      <w:i/>
      <w:iCs/>
    </w:rPr>
  </w:style>
  <w:style w:type="paragraph" w:styleId="Citt">
    <w:name w:val="Quote"/>
    <w:basedOn w:val="Normln"/>
    <w:next w:val="Normln"/>
    <w:link w:val="CittChar"/>
    <w:uiPriority w:val="29"/>
    <w:qFormat/>
    <w:rsid w:val="00DF71D4"/>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DF71D4"/>
    <w:rPr>
      <w:rFonts w:ascii="Verdana" w:hAnsi="Verdana"/>
      <w:i/>
      <w:iCs/>
      <w:color w:val="404040" w:themeColor="text1" w:themeTint="BF"/>
      <w:sz w:val="18"/>
    </w:rPr>
  </w:style>
  <w:style w:type="character" w:styleId="Nzevknihy">
    <w:name w:val="Book Title"/>
    <w:basedOn w:val="Standardnpsmoodstavce"/>
    <w:uiPriority w:val="33"/>
    <w:qFormat/>
    <w:rsid w:val="00DF71D4"/>
    <w:rPr>
      <w:rFonts w:ascii="Verdana" w:hAnsi="Verdana"/>
      <w:b/>
      <w:bCs/>
      <w:i/>
      <w:iCs/>
      <w:spacing w:val="5"/>
    </w:rPr>
  </w:style>
  <w:style w:type="character" w:styleId="Sledovanodkaz">
    <w:name w:val="FollowedHyperlink"/>
    <w:basedOn w:val="Standardnpsmoodstavce"/>
    <w:uiPriority w:val="99"/>
    <w:semiHidden/>
    <w:unhideWhenUsed/>
    <w:rsid w:val="00D81921"/>
    <w:rPr>
      <w:color w:val="00284E" w:themeColor="followedHyperlink"/>
      <w:u w:val="single"/>
    </w:rPr>
  </w:style>
  <w:style w:type="paragraph" w:styleId="Textkomente">
    <w:name w:val="annotation text"/>
    <w:basedOn w:val="Normln"/>
    <w:link w:val="TextkomenteChar"/>
    <w:uiPriority w:val="99"/>
    <w:semiHidden/>
    <w:unhideWhenUsed/>
    <w:rsid w:val="00193B47"/>
    <w:pPr>
      <w:spacing w:line="240" w:lineRule="auto"/>
    </w:pPr>
    <w:rPr>
      <w:rFonts w:asciiTheme="minorHAnsi" w:hAnsiTheme="minorHAnsi"/>
      <w:sz w:val="20"/>
      <w:szCs w:val="20"/>
    </w:rPr>
  </w:style>
  <w:style w:type="character" w:customStyle="1" w:styleId="TextkomenteChar">
    <w:name w:val="Text komentáře Char"/>
    <w:basedOn w:val="Standardnpsmoodstavce"/>
    <w:link w:val="Textkomente"/>
    <w:uiPriority w:val="99"/>
    <w:semiHidden/>
    <w:rsid w:val="00193B47"/>
    <w:rPr>
      <w:sz w:val="20"/>
      <w:szCs w:val="20"/>
    </w:rPr>
  </w:style>
  <w:style w:type="character" w:styleId="Odkaznakoment">
    <w:name w:val="annotation reference"/>
    <w:basedOn w:val="Standardnpsmoodstavce"/>
    <w:uiPriority w:val="99"/>
    <w:semiHidden/>
    <w:unhideWhenUsed/>
    <w:rsid w:val="004658F3"/>
    <w:rPr>
      <w:sz w:val="16"/>
      <w:szCs w:val="16"/>
    </w:rPr>
  </w:style>
  <w:style w:type="paragraph" w:styleId="Normlnweb">
    <w:name w:val="Normal (Web)"/>
    <w:basedOn w:val="Normln"/>
    <w:uiPriority w:val="99"/>
    <w:unhideWhenUsed/>
    <w:rsid w:val="00E2649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9C3F94"/>
    <w:pPr>
      <w:spacing w:after="0" w:line="240" w:lineRule="auto"/>
    </w:pPr>
    <w:rPr>
      <w:rFonts w:ascii="Verdana" w:hAnsi="Verdana"/>
      <w:sz w:val="18"/>
    </w:rPr>
  </w:style>
  <w:style w:type="paragraph" w:styleId="Pedmtkomente">
    <w:name w:val="annotation subject"/>
    <w:basedOn w:val="Textkomente"/>
    <w:next w:val="Textkomente"/>
    <w:link w:val="PedmtkomenteChar"/>
    <w:uiPriority w:val="99"/>
    <w:semiHidden/>
    <w:unhideWhenUsed/>
    <w:rsid w:val="00C53BDC"/>
    <w:rPr>
      <w:rFonts w:ascii="Verdana" w:hAnsi="Verdana"/>
      <w:b/>
      <w:bCs/>
    </w:rPr>
  </w:style>
  <w:style w:type="character" w:customStyle="1" w:styleId="PedmtkomenteChar">
    <w:name w:val="Předmět komentáře Char"/>
    <w:basedOn w:val="TextkomenteChar"/>
    <w:link w:val="Pedmtkomente"/>
    <w:uiPriority w:val="99"/>
    <w:semiHidden/>
    <w:rsid w:val="00C53BDC"/>
    <w:rPr>
      <w:rFonts w:ascii="Verdana" w:hAnsi="Verdana"/>
      <w:b/>
      <w:bCs/>
      <w:sz w:val="20"/>
      <w:szCs w:val="20"/>
    </w:rPr>
  </w:style>
  <w:style w:type="character" w:customStyle="1" w:styleId="apple-converted-space">
    <w:name w:val="apple-converted-space"/>
    <w:basedOn w:val="Standardnpsmoodstavce"/>
    <w:rsid w:val="00924009"/>
  </w:style>
  <w:style w:type="character" w:customStyle="1" w:styleId="Nevyeenzmnka1">
    <w:name w:val="Nevyřešená zmínka1"/>
    <w:basedOn w:val="Standardnpsmoodstavce"/>
    <w:uiPriority w:val="99"/>
    <w:semiHidden/>
    <w:unhideWhenUsed/>
    <w:rsid w:val="00924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1604">
      <w:bodyDiv w:val="1"/>
      <w:marLeft w:val="0"/>
      <w:marRight w:val="0"/>
      <w:marTop w:val="0"/>
      <w:marBottom w:val="0"/>
      <w:divBdr>
        <w:top w:val="none" w:sz="0" w:space="0" w:color="auto"/>
        <w:left w:val="none" w:sz="0" w:space="0" w:color="auto"/>
        <w:bottom w:val="none" w:sz="0" w:space="0" w:color="auto"/>
        <w:right w:val="none" w:sz="0" w:space="0" w:color="auto"/>
      </w:divBdr>
    </w:div>
    <w:div w:id="692877284">
      <w:bodyDiv w:val="1"/>
      <w:marLeft w:val="0"/>
      <w:marRight w:val="0"/>
      <w:marTop w:val="0"/>
      <w:marBottom w:val="0"/>
      <w:divBdr>
        <w:top w:val="none" w:sz="0" w:space="0" w:color="auto"/>
        <w:left w:val="none" w:sz="0" w:space="0" w:color="auto"/>
        <w:bottom w:val="none" w:sz="0" w:space="0" w:color="auto"/>
        <w:right w:val="none" w:sz="0" w:space="0" w:color="auto"/>
      </w:divBdr>
    </w:div>
    <w:div w:id="762409855">
      <w:bodyDiv w:val="1"/>
      <w:marLeft w:val="0"/>
      <w:marRight w:val="0"/>
      <w:marTop w:val="0"/>
      <w:marBottom w:val="0"/>
      <w:divBdr>
        <w:top w:val="none" w:sz="0" w:space="0" w:color="auto"/>
        <w:left w:val="none" w:sz="0" w:space="0" w:color="auto"/>
        <w:bottom w:val="none" w:sz="0" w:space="0" w:color="auto"/>
        <w:right w:val="none" w:sz="0" w:space="0" w:color="auto"/>
      </w:divBdr>
    </w:div>
    <w:div w:id="1293173131">
      <w:bodyDiv w:val="1"/>
      <w:marLeft w:val="0"/>
      <w:marRight w:val="0"/>
      <w:marTop w:val="0"/>
      <w:marBottom w:val="0"/>
      <w:divBdr>
        <w:top w:val="none" w:sz="0" w:space="0" w:color="auto"/>
        <w:left w:val="none" w:sz="0" w:space="0" w:color="auto"/>
        <w:bottom w:val="none" w:sz="0" w:space="0" w:color="auto"/>
        <w:right w:val="none" w:sz="0" w:space="0" w:color="auto"/>
      </w:divBdr>
    </w:div>
    <w:div w:id="1631476330">
      <w:bodyDiv w:val="1"/>
      <w:marLeft w:val="0"/>
      <w:marRight w:val="0"/>
      <w:marTop w:val="0"/>
      <w:marBottom w:val="0"/>
      <w:divBdr>
        <w:top w:val="none" w:sz="0" w:space="0" w:color="auto"/>
        <w:left w:val="none" w:sz="0" w:space="0" w:color="auto"/>
        <w:bottom w:val="none" w:sz="0" w:space="0" w:color="auto"/>
        <w:right w:val="none" w:sz="0" w:space="0" w:color="auto"/>
      </w:divBdr>
    </w:div>
    <w:div w:id="1765880640">
      <w:bodyDiv w:val="1"/>
      <w:marLeft w:val="0"/>
      <w:marRight w:val="0"/>
      <w:marTop w:val="0"/>
      <w:marBottom w:val="0"/>
      <w:divBdr>
        <w:top w:val="none" w:sz="0" w:space="0" w:color="auto"/>
        <w:left w:val="none" w:sz="0" w:space="0" w:color="auto"/>
        <w:bottom w:val="none" w:sz="0" w:space="0" w:color="auto"/>
        <w:right w:val="none" w:sz="0" w:space="0" w:color="auto"/>
      </w:divBdr>
    </w:div>
    <w:div w:id="1977026252">
      <w:bodyDiv w:val="1"/>
      <w:marLeft w:val="0"/>
      <w:marRight w:val="0"/>
      <w:marTop w:val="0"/>
      <w:marBottom w:val="0"/>
      <w:divBdr>
        <w:top w:val="none" w:sz="0" w:space="0" w:color="auto"/>
        <w:left w:val="none" w:sz="0" w:space="0" w:color="auto"/>
        <w:bottom w:val="none" w:sz="0" w:space="0" w:color="auto"/>
        <w:right w:val="none" w:sz="0" w:space="0" w:color="auto"/>
      </w:divBdr>
    </w:div>
    <w:div w:id="2014335652">
      <w:bodyDiv w:val="1"/>
      <w:marLeft w:val="0"/>
      <w:marRight w:val="0"/>
      <w:marTop w:val="0"/>
      <w:marBottom w:val="0"/>
      <w:divBdr>
        <w:top w:val="none" w:sz="0" w:space="0" w:color="auto"/>
        <w:left w:val="none" w:sz="0" w:space="0" w:color="auto"/>
        <w:bottom w:val="none" w:sz="0" w:space="0" w:color="auto"/>
        <w:right w:val="none" w:sz="0" w:space="0" w:color="auto"/>
      </w:divBdr>
    </w:div>
    <w:div w:id="202285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gDkeWiLU3qJzaTgRJrZ8pGLI6RAL4CKL?usp=sharing"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drive/folders/1Pb9tUOEcdhfonu6zVTjV4m31ie-IyX8w?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rive.google.com/drive/folders/1MeZo5wihB3CrVaIX8js6pa9IlXG_FjHi?usp=sharing" TargetMode="External"/><Relationship Id="rId10" Type="http://schemas.openxmlformats.org/officeDocument/2006/relationships/hyperlink" Target="http://www.cyrrus.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drive/folders/1vJynKESL_uoi_KOQQVqono-903qtLnsU?usp=sharing" TargetMode="External"/><Relationship Id="rId14" Type="http://schemas.openxmlformats.org/officeDocument/2006/relationships/hyperlink" Target="https://drive.google.com/drive/folders/1P3hMpirSa6iyRyoOgXS0_zrCmPe6vQtG?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ka%20H&#225;&#353;ov&#225;\AppData\Local\Microsoft\Windows\INetCache\Content.Outlook\3UKEPCA5\TZ_CYRRUS-sablona-2022.dotx" TargetMode="External"/></Relationships>
</file>

<file path=word/theme/theme1.xml><?xml version="1.0" encoding="utf-8"?>
<a:theme xmlns:a="http://schemas.openxmlformats.org/drawingml/2006/main" name="Motiv Office">
  <a:themeElements>
    <a:clrScheme name="CYRRUS 2021">
      <a:dk1>
        <a:srgbClr val="000000"/>
      </a:dk1>
      <a:lt1>
        <a:sysClr val="window" lastClr="FFFFFF"/>
      </a:lt1>
      <a:dk2>
        <a:srgbClr val="F47929"/>
      </a:dk2>
      <a:lt2>
        <a:srgbClr val="FFC832"/>
      </a:lt2>
      <a:accent1>
        <a:srgbClr val="F47929"/>
      </a:accent1>
      <a:accent2>
        <a:srgbClr val="FFC832"/>
      </a:accent2>
      <a:accent3>
        <a:srgbClr val="036531"/>
      </a:accent3>
      <a:accent4>
        <a:srgbClr val="AF251A"/>
      </a:accent4>
      <a:accent5>
        <a:srgbClr val="B78A17"/>
      </a:accent5>
      <a:accent6>
        <a:srgbClr val="917F5F"/>
      </a:accent6>
      <a:hlink>
        <a:srgbClr val="003C73"/>
      </a:hlink>
      <a:folHlink>
        <a:srgbClr val="00284E"/>
      </a:folHlink>
    </a:clrScheme>
    <a:fontScheme name="CYRRUS 2021">
      <a:majorFont>
        <a:latin typeface="Nexa Extra Bold"/>
        <a:ea typeface=""/>
        <a:cs typeface=""/>
      </a:majorFont>
      <a:minorFont>
        <a:latin typeface="Nexa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DD32-E684-463B-A99F-F192D65F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TZ_CYRRUS-sablona-2022</Template>
  <TotalTime>4</TotalTime>
  <Pages>2</Pages>
  <Words>984</Words>
  <Characters>5811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Hášová</dc:creator>
  <cp:keywords/>
  <dc:description/>
  <cp:lastModifiedBy>Petra Kopecká</cp:lastModifiedBy>
  <cp:revision>2</cp:revision>
  <cp:lastPrinted>2020-10-26T13:09:00Z</cp:lastPrinted>
  <dcterms:created xsi:type="dcterms:W3CDTF">2023-02-02T11:33:00Z</dcterms:created>
  <dcterms:modified xsi:type="dcterms:W3CDTF">2023-02-02T11:33:00Z</dcterms:modified>
</cp:coreProperties>
</file>